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2033510" w:displacedByCustomXml="next"/>
    <w:sdt>
      <w:sdtPr>
        <w:id w:val="667746166"/>
        <w:docPartObj>
          <w:docPartGallery w:val="Cover Pages"/>
          <w:docPartUnique/>
        </w:docPartObj>
      </w:sdtPr>
      <w:sdtEndPr>
        <w:rPr>
          <w:bCs/>
          <w:color w:val="2E74B5" w:themeColor="accent1" w:themeShade="BF"/>
          <w:sz w:val="32"/>
          <w:szCs w:val="32"/>
          <w:lang w:val="es-CO" w:eastAsia="en-US"/>
        </w:rPr>
      </w:sdtEndPr>
      <w:sdtContent>
        <w:p w:rsidR="000A4D59" w:rsidRDefault="000A4D59"/>
        <w:p w:rsidR="000A4D59" w:rsidRDefault="00E15080">
          <w:pPr>
            <w:spacing w:after="160" w:line="259" w:lineRule="auto"/>
            <w:rPr>
              <w:rFonts w:eastAsiaTheme="majorEastAsia" w:cstheme="majorBidi"/>
              <w:b/>
              <w:color w:val="2E74B5" w:themeColor="accent1" w:themeShade="BF"/>
              <w:sz w:val="32"/>
              <w:szCs w:val="32"/>
              <w:lang w:val="es-CO" w:eastAsia="en-US"/>
            </w:rPr>
          </w:pPr>
          <w:r>
            <w:rPr>
              <w:noProof/>
              <w:lang w:val="es-CO" w:eastAsia="es-CO"/>
            </w:rPr>
            <w:drawing>
              <wp:inline distT="0" distB="0" distL="0" distR="0" wp14:anchorId="2A5AE2B6" wp14:editId="7BB82DBD">
                <wp:extent cx="2724150" cy="113157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adr.png"/>
                        <pic:cNvPicPr/>
                      </pic:nvPicPr>
                      <pic:blipFill>
                        <a:blip r:embed="rId9">
                          <a:extLst>
                            <a:ext uri="{28A0092B-C50C-407E-A947-70E740481C1C}">
                              <a14:useLocalDpi xmlns:a14="http://schemas.microsoft.com/office/drawing/2010/main" val="0"/>
                            </a:ext>
                          </a:extLst>
                        </a:blip>
                        <a:stretch>
                          <a:fillRect/>
                        </a:stretch>
                      </pic:blipFill>
                      <pic:spPr>
                        <a:xfrm>
                          <a:off x="0" y="0"/>
                          <a:ext cx="2743239" cy="1139499"/>
                        </a:xfrm>
                        <a:prstGeom prst="rect">
                          <a:avLst/>
                        </a:prstGeom>
                      </pic:spPr>
                    </pic:pic>
                  </a:graphicData>
                </a:graphic>
              </wp:inline>
            </w:drawing>
          </w:r>
          <w:r w:rsidR="000A4D59">
            <w:rPr>
              <w:noProof/>
              <w:lang w:val="es-CO" w:eastAsia="es-CO"/>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8474AD" w:rsidRDefault="008474AD">
                                    <w:pPr>
                                      <w:pStyle w:val="Sinespaciado"/>
                                      <w:jc w:val="right"/>
                                      <w:rPr>
                                        <w:caps/>
                                        <w:color w:val="262626" w:themeColor="text1" w:themeTint="D9"/>
                                        <w:sz w:val="28"/>
                                        <w:szCs w:val="28"/>
                                      </w:rPr>
                                    </w:pPr>
                                    <w:r>
                                      <w:rPr>
                                        <w:caps/>
                                        <w:color w:val="262626" w:themeColor="text1" w:themeTint="D9"/>
                                        <w:sz w:val="28"/>
                                        <w:szCs w:val="28"/>
                                      </w:rPr>
                                      <w:t>OFICINA DE PLANEACIÓN</w:t>
                                    </w:r>
                                  </w:p>
                                </w:sdtContent>
                              </w:sdt>
                              <w:p w:rsidR="008474AD" w:rsidRDefault="008474AD">
                                <w:pPr>
                                  <w:pStyle w:val="Sinespaciado"/>
                                  <w:jc w:val="right"/>
                                  <w:rPr>
                                    <w:caps/>
                                    <w:color w:val="262626" w:themeColor="text1" w:themeTint="D9"/>
                                    <w:sz w:val="20"/>
                                    <w:szCs w:val="20"/>
                                  </w:rPr>
                                </w:pPr>
                                <w:sdt>
                                  <w:sdtPr>
                                    <w:rPr>
                                      <w:caps/>
                                      <w:color w:val="262626" w:themeColor="text1" w:themeTint="D9"/>
                                      <w:sz w:val="20"/>
                                      <w:szCs w:val="20"/>
                                    </w:rPr>
                                    <w:alias w:val="Compañía"/>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Agencia de Desarrollo Rural</w:t>
                                    </w:r>
                                  </w:sdtContent>
                                </w:sdt>
                              </w:p>
                              <w:p w:rsidR="008474AD" w:rsidRDefault="008474AD">
                                <w:pPr>
                                  <w:pStyle w:val="Sinespaciado"/>
                                  <w:jc w:val="right"/>
                                  <w:rPr>
                                    <w:caps/>
                                    <w:color w:val="262626" w:themeColor="text1" w:themeTint="D9"/>
                                    <w:sz w:val="20"/>
                                    <w:szCs w:val="20"/>
                                  </w:rPr>
                                </w:pPr>
                                <w:sdt>
                                  <w:sdtPr>
                                    <w:rPr>
                                      <w:color w:val="262626" w:themeColor="text1" w:themeTint="D9"/>
                                      <w:sz w:val="20"/>
                                      <w:szCs w:val="20"/>
                                    </w:rPr>
                                    <w:alias w:val="Dirección"/>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Cuadro de texto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" filled="f" stroked="f" strokeweight=".5pt">
                    <v:textbox inset="0,0,0,0">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8474AD" w:rsidRDefault="008474AD">
                              <w:pPr>
                                <w:pStyle w:val="Sinespaciado"/>
                                <w:jc w:val="right"/>
                                <w:rPr>
                                  <w:caps/>
                                  <w:color w:val="262626" w:themeColor="text1" w:themeTint="D9"/>
                                  <w:sz w:val="28"/>
                                  <w:szCs w:val="28"/>
                                </w:rPr>
                              </w:pPr>
                              <w:r>
                                <w:rPr>
                                  <w:caps/>
                                  <w:color w:val="262626" w:themeColor="text1" w:themeTint="D9"/>
                                  <w:sz w:val="28"/>
                                  <w:szCs w:val="28"/>
                                </w:rPr>
                                <w:t>OFICINA DE PLANEACIÓN</w:t>
                              </w:r>
                            </w:p>
                          </w:sdtContent>
                        </w:sdt>
                        <w:p w:rsidR="008474AD" w:rsidRDefault="008474AD">
                          <w:pPr>
                            <w:pStyle w:val="Sinespaciado"/>
                            <w:jc w:val="right"/>
                            <w:rPr>
                              <w:caps/>
                              <w:color w:val="262626" w:themeColor="text1" w:themeTint="D9"/>
                              <w:sz w:val="20"/>
                              <w:szCs w:val="20"/>
                            </w:rPr>
                          </w:pPr>
                          <w:sdt>
                            <w:sdtPr>
                              <w:rPr>
                                <w:caps/>
                                <w:color w:val="262626" w:themeColor="text1" w:themeTint="D9"/>
                                <w:sz w:val="20"/>
                                <w:szCs w:val="20"/>
                              </w:rPr>
                              <w:alias w:val="Compañía"/>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Agencia de Desarrollo Rural</w:t>
                              </w:r>
                            </w:sdtContent>
                          </w:sdt>
                        </w:p>
                        <w:p w:rsidR="008474AD" w:rsidRDefault="008474AD">
                          <w:pPr>
                            <w:pStyle w:val="Sinespaciado"/>
                            <w:jc w:val="right"/>
                            <w:rPr>
                              <w:caps/>
                              <w:color w:val="262626" w:themeColor="text1" w:themeTint="D9"/>
                              <w:sz w:val="20"/>
                              <w:szCs w:val="20"/>
                            </w:rPr>
                          </w:pPr>
                          <w:sdt>
                            <w:sdtPr>
                              <w:rPr>
                                <w:color w:val="262626" w:themeColor="text1" w:themeTint="D9"/>
                                <w:sz w:val="20"/>
                                <w:szCs w:val="20"/>
                              </w:rPr>
                              <w:alias w:val="Dirección"/>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lang w:val="es-ES"/>
                            </w:rPr>
                            <w:t xml:space="preserve"> </w:t>
                          </w:r>
                        </w:p>
                      </w:txbxContent>
                    </v:textbox>
                    <w10:wrap type="square" anchorx="page" anchory="page"/>
                  </v:shape>
                </w:pict>
              </mc:Fallback>
            </mc:AlternateContent>
          </w:r>
          <w:r w:rsidR="000A4D59">
            <w:rPr>
              <w:noProof/>
              <w:lang w:val="es-CO" w:eastAsia="es-CO"/>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4AD" w:rsidRDefault="008474AD">
                                <w:pPr>
                                  <w:pStyle w:val="Sinespaciado"/>
                                  <w:jc w:val="right"/>
                                  <w:rPr>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b/>
                                        <w:caps/>
                                        <w:color w:val="323E4F" w:themeColor="text2" w:themeShade="BF"/>
                                        <w:sz w:val="52"/>
                                        <w:szCs w:val="52"/>
                                      </w:rPr>
                                      <w:t xml:space="preserve">INFORME DE SEGUIMIENTO </w:t>
                                    </w:r>
                                    <w:r>
                                      <w:rPr>
                                        <w:b/>
                                        <w:caps/>
                                        <w:color w:val="323E4F" w:themeColor="text2" w:themeShade="BF"/>
                                        <w:sz w:val="52"/>
                                        <w:szCs w:val="52"/>
                                      </w:rPr>
                                      <w:br/>
                                      <w:t>PLAN DE ACCIÓN 2019</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8474AD" w:rsidRDefault="008474AD">
                                    <w:pPr>
                                      <w:pStyle w:val="Sinespaciado"/>
                                      <w:jc w:val="right"/>
                                      <w:rPr>
                                        <w:smallCaps/>
                                        <w:color w:val="44546A" w:themeColor="text2"/>
                                        <w:sz w:val="36"/>
                                        <w:szCs w:val="36"/>
                                      </w:rPr>
                                    </w:pPr>
                                    <w:r>
                                      <w:rPr>
                                        <w:smallCaps/>
                                        <w:color w:val="44546A" w:themeColor="text2"/>
                                        <w:sz w:val="36"/>
                                        <w:szCs w:val="36"/>
                                      </w:rPr>
                                      <w:t>Corte a 31 de Diciembre de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Cuadro de texto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" filled="f" stroked="f" strokeweight=".5pt">
                    <v:textbox inset="0,0,0,0">
                      <w:txbxContent>
                        <w:p w:rsidR="008474AD" w:rsidRDefault="008474AD">
                          <w:pPr>
                            <w:pStyle w:val="Sinespaciado"/>
                            <w:jc w:val="right"/>
                            <w:rPr>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b/>
                                  <w:caps/>
                                  <w:color w:val="323E4F" w:themeColor="text2" w:themeShade="BF"/>
                                  <w:sz w:val="52"/>
                                  <w:szCs w:val="52"/>
                                </w:rPr>
                                <w:t xml:space="preserve">INFORME DE SEGUIMIENTO </w:t>
                              </w:r>
                              <w:r>
                                <w:rPr>
                                  <w:b/>
                                  <w:caps/>
                                  <w:color w:val="323E4F" w:themeColor="text2" w:themeShade="BF"/>
                                  <w:sz w:val="52"/>
                                  <w:szCs w:val="52"/>
                                </w:rPr>
                                <w:br/>
                                <w:t>PLAN DE ACCIÓN 2019</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8474AD" w:rsidRDefault="008474AD">
                              <w:pPr>
                                <w:pStyle w:val="Sinespaciado"/>
                                <w:jc w:val="right"/>
                                <w:rPr>
                                  <w:smallCaps/>
                                  <w:color w:val="44546A" w:themeColor="text2"/>
                                  <w:sz w:val="36"/>
                                  <w:szCs w:val="36"/>
                                </w:rPr>
                              </w:pPr>
                              <w:r>
                                <w:rPr>
                                  <w:smallCaps/>
                                  <w:color w:val="44546A" w:themeColor="text2"/>
                                  <w:sz w:val="36"/>
                                  <w:szCs w:val="36"/>
                                </w:rPr>
                                <w:t>Corte a 31 de Diciembre de 2019</w:t>
                              </w:r>
                            </w:p>
                          </w:sdtContent>
                        </w:sdt>
                      </w:txbxContent>
                    </v:textbox>
                    <w10:wrap type="square" anchorx="page" anchory="page"/>
                  </v:shape>
                </w:pict>
              </mc:Fallback>
            </mc:AlternateContent>
          </w:r>
          <w:r w:rsidR="000A4D59">
            <w:rPr>
              <w:noProof/>
              <w:lang w:val="es-CO" w:eastAsia="es-CO"/>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5A37CCCE"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toMIA&#10;AADcAAAADwAAAGRycy9kb3ducmV2LnhtbERP32vCMBB+H+x/CCf4NtMOFKlGEcd0IApqwdezOdti&#10;cilN1O6/N4OBb/fx/bzpvLNG3Kn1tWMF6SABQVw4XXOpID9+f4xB+ICs0TgmBb/kYT57f5tipt2D&#10;93Q/hFLEEPYZKqhCaDIpfVGRRT9wDXHkLq61GCJsS6lbfMRwa+RnkoykxZpjQ4UNLSsqroebVbDd&#10;6K+hHaW7zXl1Xhf5yRzT3CjV73WLCYhAXXiJ/90/Os5Ph/D3TL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O2gwgAAANwAAAAPAAAAAAAAAAAAAAAAAJgCAABkcnMvZG93&#10;bnJldi54bWxQSwUGAAAAAAQABAD1AAAAhwMAAAAA&#10;" fillcolor="#213315 [969]" stroked="f" strokeweight="1pt">
                      <v:fill color2="#70ad47 [3209]" rotate="t" angle="45" colors="0 #3d6821;.5 #5c9734;1 #6fb53f" focus="100%" type="gradient"/>
                    </v:rec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pBMIA&#10;AADcAAAADwAAAGRycy9kb3ducmV2LnhtbERPTWvCQBC9C/0PyxR6042lLCW6ikhLPYjQ2EtvQ3ZM&#10;otnZkB1j+u+7QqG3ebzPWa5H36qB+tgEtjCfZaCIy+Aarix8Hd+nr6CiIDtsA5OFH4qwXj1Mlpi7&#10;cONPGgqpVArhmKOFWqTLtY5lTR7jLHTEiTuF3qMk2Ffa9XhL4b7Vz1lmtMeGU0ONHW1rKi/F1VuQ&#10;czx8vIj53r3xptjvr2Y4Dcbap8dxswAlNMq/+M+9c2n+3MD9mXS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ykEwgAAANwAAAAPAAAAAAAAAAAAAAAAAJgCAABkcnMvZG93&#10;bnJldi54bWxQSwUGAAAAAAQABAD1AAAAhwMAAAAA&#10;" fillcolor="#92d050" stroked="f" strokeweight="1pt">
                      <v:path arrowok="t"/>
                      <o:lock v:ext="edit" aspectratio="t"/>
                    </v:rect>
                    <w10:wrap anchorx="page" anchory="page"/>
                  </v:group>
                </w:pict>
              </mc:Fallback>
            </mc:AlternateContent>
          </w:r>
          <w:r w:rsidR="000A4D59">
            <w:rPr>
              <w:bCs/>
              <w:color w:val="2E74B5" w:themeColor="accent1" w:themeShade="BF"/>
              <w:sz w:val="32"/>
              <w:szCs w:val="32"/>
              <w:lang w:val="es-CO" w:eastAsia="en-US"/>
            </w:rPr>
            <w:br w:type="page"/>
          </w:r>
        </w:p>
      </w:sdtContent>
    </w:sdt>
    <w:p w:rsidR="00E15080" w:rsidRPr="003C41A5" w:rsidRDefault="00E15080" w:rsidP="00E15080">
      <w:pPr>
        <w:rPr>
          <w:b/>
          <w:color w:val="1F4E79" w:themeColor="accent1" w:themeShade="80"/>
          <w:sz w:val="32"/>
          <w:szCs w:val="28"/>
        </w:rPr>
      </w:pPr>
      <w:r w:rsidRPr="003C41A5">
        <w:rPr>
          <w:b/>
          <w:color w:val="1F4E79" w:themeColor="accent1" w:themeShade="80"/>
          <w:sz w:val="32"/>
          <w:szCs w:val="28"/>
        </w:rPr>
        <w:lastRenderedPageBreak/>
        <w:t>SIGLAS MÁS USADAS</w:t>
      </w:r>
    </w:p>
    <w:p w:rsidR="00E15080" w:rsidRPr="00C80685" w:rsidRDefault="00E15080" w:rsidP="00E15080"/>
    <w:p w:rsidR="00E15080" w:rsidRDefault="00E15080" w:rsidP="00E15080">
      <w:pPr>
        <w:spacing w:line="360" w:lineRule="auto"/>
      </w:pPr>
      <w:proofErr w:type="spellStart"/>
      <w:r>
        <w:t>ACFC</w:t>
      </w:r>
      <w:proofErr w:type="spellEnd"/>
      <w:r>
        <w:t>- AGRICULTURA CAMPESINA, FAMILIAR Y AGROPECUARIA</w:t>
      </w:r>
    </w:p>
    <w:p w:rsidR="00E15080" w:rsidRDefault="00E15080" w:rsidP="00E15080">
      <w:pPr>
        <w:spacing w:line="360" w:lineRule="auto"/>
      </w:pPr>
      <w:r>
        <w:t>ADR – AGENCIA DE DESARROLLO RURAL</w:t>
      </w:r>
    </w:p>
    <w:p w:rsidR="00E15080" w:rsidRDefault="00E15080" w:rsidP="00E15080">
      <w:pPr>
        <w:spacing w:line="360" w:lineRule="auto"/>
      </w:pPr>
      <w:proofErr w:type="spellStart"/>
      <w:r>
        <w:t>AGN</w:t>
      </w:r>
      <w:proofErr w:type="spellEnd"/>
      <w:r>
        <w:t xml:space="preserve"> – ARCHIVO GENERAL DE LA NACIÓN</w:t>
      </w:r>
    </w:p>
    <w:p w:rsidR="00E15080" w:rsidRDefault="00E15080" w:rsidP="00E15080">
      <w:pPr>
        <w:spacing w:line="360" w:lineRule="auto"/>
      </w:pPr>
      <w:proofErr w:type="spellStart"/>
      <w:r w:rsidRPr="00877D3D">
        <w:t>ANDJE</w:t>
      </w:r>
      <w:proofErr w:type="spellEnd"/>
      <w:r>
        <w:t xml:space="preserve"> - </w:t>
      </w:r>
      <w:r w:rsidRPr="00877D3D">
        <w:t>AGENCIA NACIONAL DE DEFENSA JURÍDICA DEL ESTADO</w:t>
      </w:r>
    </w:p>
    <w:p w:rsidR="00E15080" w:rsidRDefault="00E15080" w:rsidP="00E15080">
      <w:pPr>
        <w:spacing w:line="360" w:lineRule="auto"/>
      </w:pPr>
      <w:proofErr w:type="spellStart"/>
      <w:r>
        <w:t>ANT</w:t>
      </w:r>
      <w:proofErr w:type="spellEnd"/>
      <w:r>
        <w:t xml:space="preserve"> – AGENCIA NACIONAL DE TIERRAS</w:t>
      </w:r>
    </w:p>
    <w:p w:rsidR="00E15080" w:rsidRDefault="00E15080" w:rsidP="00E15080">
      <w:pPr>
        <w:spacing w:line="360" w:lineRule="auto"/>
      </w:pPr>
      <w:proofErr w:type="spellStart"/>
      <w:r>
        <w:t>APC</w:t>
      </w:r>
      <w:proofErr w:type="spellEnd"/>
      <w:r>
        <w:t xml:space="preserve"> – AGENCIA PRESIDENCIAL DE COOPERACIÓN INTERNACIONAL</w:t>
      </w:r>
    </w:p>
    <w:p w:rsidR="00E15080" w:rsidRDefault="00E15080" w:rsidP="00E15080">
      <w:pPr>
        <w:spacing w:line="360" w:lineRule="auto"/>
      </w:pPr>
      <w:proofErr w:type="spellStart"/>
      <w:r>
        <w:t>AUNAP</w:t>
      </w:r>
      <w:proofErr w:type="spellEnd"/>
      <w:r>
        <w:t xml:space="preserve"> - </w:t>
      </w:r>
      <w:r w:rsidRPr="00CC6579">
        <w:t>AUTORIDAD NACIONAL DE ACUICULTURA Y PESCA</w:t>
      </w:r>
    </w:p>
    <w:p w:rsidR="00E15080" w:rsidRDefault="00E15080" w:rsidP="00E15080">
      <w:pPr>
        <w:spacing w:line="360" w:lineRule="auto"/>
      </w:pPr>
      <w:proofErr w:type="spellStart"/>
      <w:r>
        <w:t>CDP</w:t>
      </w:r>
      <w:proofErr w:type="spellEnd"/>
      <w:r>
        <w:t xml:space="preserve"> – CERTIFICADO DE DISPONIBILIDAD PRESUPUESTAL</w:t>
      </w:r>
    </w:p>
    <w:p w:rsidR="00E15080" w:rsidRDefault="00E15080" w:rsidP="00E15080">
      <w:pPr>
        <w:spacing w:line="360" w:lineRule="auto"/>
      </w:pPr>
      <w:proofErr w:type="spellStart"/>
      <w:r w:rsidRPr="00873AE9">
        <w:t>CMDR</w:t>
      </w:r>
      <w:proofErr w:type="spellEnd"/>
      <w:r>
        <w:t xml:space="preserve"> - </w:t>
      </w:r>
      <w:r w:rsidRPr="00873AE9">
        <w:t>CONSEJOS MU</w:t>
      </w:r>
      <w:r>
        <w:t>NICIPALES DE DESARROLLO RURAL</w:t>
      </w:r>
    </w:p>
    <w:p w:rsidR="00E15080" w:rsidRDefault="00E15080" w:rsidP="00E15080">
      <w:pPr>
        <w:spacing w:line="360" w:lineRule="auto"/>
      </w:pPr>
      <w:proofErr w:type="spellStart"/>
      <w:r>
        <w:t>CONPES</w:t>
      </w:r>
      <w:proofErr w:type="spellEnd"/>
      <w:r>
        <w:t xml:space="preserve"> - </w:t>
      </w:r>
      <w:r w:rsidRPr="004A52C4">
        <w:t>CONSEJO NACIONAL DE POLÍTICA ECONÓMICA Y SOCIAL</w:t>
      </w:r>
    </w:p>
    <w:p w:rsidR="00E15080" w:rsidRDefault="00E15080" w:rsidP="00E15080">
      <w:pPr>
        <w:spacing w:line="360" w:lineRule="auto"/>
      </w:pPr>
      <w:proofErr w:type="spellStart"/>
      <w:r>
        <w:t>CONSA</w:t>
      </w:r>
      <w:proofErr w:type="spellEnd"/>
      <w:r>
        <w:t xml:space="preserve"> - </w:t>
      </w:r>
      <w:r w:rsidRPr="004A3A74">
        <w:t>CONSEJO NACIONAL DE SECRETARIOS DE AGRICULTURA </w:t>
      </w:r>
    </w:p>
    <w:p w:rsidR="00E15080" w:rsidRDefault="00E15080" w:rsidP="00E15080">
      <w:pPr>
        <w:spacing w:line="360" w:lineRule="auto"/>
      </w:pPr>
      <w:proofErr w:type="spellStart"/>
      <w:r>
        <w:t>CONSEA</w:t>
      </w:r>
      <w:proofErr w:type="spellEnd"/>
      <w:r>
        <w:t xml:space="preserve"> – CONSEJOS SECCIONALES DE DESARROLLO AGROPECUARIOS</w:t>
      </w:r>
    </w:p>
    <w:p w:rsidR="00E15080" w:rsidRDefault="00E15080" w:rsidP="00E15080">
      <w:pPr>
        <w:spacing w:line="360" w:lineRule="auto"/>
      </w:pPr>
      <w:proofErr w:type="spellStart"/>
      <w:r>
        <w:t>DAT</w:t>
      </w:r>
      <w:proofErr w:type="spellEnd"/>
      <w:r>
        <w:t xml:space="preserve"> – </w:t>
      </w:r>
      <w:proofErr w:type="spellStart"/>
      <w:r>
        <w:t>DITRITOS</w:t>
      </w:r>
      <w:proofErr w:type="spellEnd"/>
      <w:r>
        <w:t xml:space="preserve"> DE ADECUACIÓN DE TIERRAS</w:t>
      </w:r>
    </w:p>
    <w:p w:rsidR="00E15080" w:rsidRDefault="00E15080" w:rsidP="00E15080">
      <w:pPr>
        <w:spacing w:line="360" w:lineRule="auto"/>
      </w:pPr>
      <w:proofErr w:type="spellStart"/>
      <w:r>
        <w:t>DAFP</w:t>
      </w:r>
      <w:proofErr w:type="spellEnd"/>
      <w:r>
        <w:t xml:space="preserve"> – DEPARTAMENTO ADMINISTRATIVO DE LA </w:t>
      </w:r>
      <w:proofErr w:type="spellStart"/>
      <w:r>
        <w:t>FUNCION</w:t>
      </w:r>
      <w:proofErr w:type="spellEnd"/>
      <w:r>
        <w:t xml:space="preserve"> PÚBLICA</w:t>
      </w:r>
    </w:p>
    <w:p w:rsidR="00E15080" w:rsidRDefault="00E15080" w:rsidP="00E15080">
      <w:pPr>
        <w:spacing w:line="360" w:lineRule="auto"/>
      </w:pPr>
      <w:r>
        <w:t xml:space="preserve">DPA - DIRECCIÓN DE PARTICIPACIÓN Y </w:t>
      </w:r>
      <w:proofErr w:type="spellStart"/>
      <w:r>
        <w:t>ASOCIATIVIDAD</w:t>
      </w:r>
      <w:proofErr w:type="spellEnd"/>
      <w:r>
        <w:t xml:space="preserve"> </w:t>
      </w:r>
    </w:p>
    <w:p w:rsidR="00E15080" w:rsidRDefault="00E15080" w:rsidP="00E15080">
      <w:pPr>
        <w:spacing w:line="360" w:lineRule="auto"/>
      </w:pPr>
      <w:proofErr w:type="spellStart"/>
      <w:r>
        <w:t>EPSEA</w:t>
      </w:r>
      <w:proofErr w:type="spellEnd"/>
      <w:r>
        <w:t xml:space="preserve"> – EMPRESAS PRESTADORAS DE SERVICIO DE EXTENSIÓN AGROPECUARIA</w:t>
      </w:r>
    </w:p>
    <w:p w:rsidR="00E15080" w:rsidRDefault="00E15080" w:rsidP="00E15080">
      <w:pPr>
        <w:spacing w:line="360" w:lineRule="auto"/>
      </w:pPr>
      <w:r w:rsidRPr="00371064">
        <w:t>FAO</w:t>
      </w:r>
      <w:r>
        <w:t xml:space="preserve"> - </w:t>
      </w:r>
      <w:r w:rsidRPr="00456B5E">
        <w:t>ORGANIZACIÓN DE LAS NACIONES UNIDAS PARA LA ALIMENTACIÓN Y LA AGRICULTURA</w:t>
      </w:r>
    </w:p>
    <w:p w:rsidR="00E15080" w:rsidRDefault="00E15080" w:rsidP="00E15080">
      <w:pPr>
        <w:spacing w:line="360" w:lineRule="auto"/>
      </w:pPr>
      <w:proofErr w:type="spellStart"/>
      <w:r>
        <w:t>FUID</w:t>
      </w:r>
      <w:proofErr w:type="spellEnd"/>
      <w:r>
        <w:t xml:space="preserve"> - </w:t>
      </w:r>
      <w:r w:rsidRPr="004E3370">
        <w:t>FORMATO ÚNICO DE INVENTARIO DOCUMENTAL</w:t>
      </w:r>
    </w:p>
    <w:p w:rsidR="00E15080" w:rsidRPr="00456B5E" w:rsidRDefault="00E15080" w:rsidP="00E15080">
      <w:pPr>
        <w:spacing w:line="360" w:lineRule="auto"/>
      </w:pPr>
      <w:proofErr w:type="spellStart"/>
      <w:r w:rsidRPr="00456B5E">
        <w:t>FURAG</w:t>
      </w:r>
      <w:proofErr w:type="spellEnd"/>
      <w:r w:rsidRPr="00456B5E">
        <w:t xml:space="preserve"> - FORMULARIO ÚNICO REPORTE DE AVANCES DE LA GESTIÓN</w:t>
      </w:r>
    </w:p>
    <w:p w:rsidR="00E15080" w:rsidRDefault="00E15080" w:rsidP="00E15080">
      <w:pPr>
        <w:spacing w:line="360" w:lineRule="auto"/>
      </w:pPr>
      <w:proofErr w:type="spellStart"/>
      <w:r>
        <w:t>INCODER</w:t>
      </w:r>
      <w:proofErr w:type="spellEnd"/>
      <w:r>
        <w:t xml:space="preserve"> – INSTITUTO COLOMBIANO DE DESARROLLO RURAL</w:t>
      </w:r>
    </w:p>
    <w:p w:rsidR="00E15080" w:rsidRDefault="00E15080" w:rsidP="00E15080">
      <w:pPr>
        <w:spacing w:line="360" w:lineRule="auto"/>
      </w:pPr>
      <w:proofErr w:type="spellStart"/>
      <w:r>
        <w:t>IGAC</w:t>
      </w:r>
      <w:proofErr w:type="spellEnd"/>
      <w:r>
        <w:t xml:space="preserve"> – INSTITUTO GEOGRÁFICO AGUSTÍN CODAZZI</w:t>
      </w:r>
    </w:p>
    <w:p w:rsidR="00E15080" w:rsidRDefault="00E15080" w:rsidP="00E15080">
      <w:pPr>
        <w:spacing w:line="360" w:lineRule="auto"/>
      </w:pPr>
      <w:proofErr w:type="spellStart"/>
      <w:r>
        <w:t>MADR</w:t>
      </w:r>
      <w:proofErr w:type="spellEnd"/>
      <w:r>
        <w:t xml:space="preserve"> – MINISTERIO DE AGRICULTURA Y DESARROLLO RURAL</w:t>
      </w:r>
    </w:p>
    <w:p w:rsidR="00E15080" w:rsidRDefault="00E15080" w:rsidP="00E15080">
      <w:pPr>
        <w:spacing w:line="360" w:lineRule="auto"/>
      </w:pPr>
      <w:proofErr w:type="spellStart"/>
      <w:r>
        <w:t>MGA</w:t>
      </w:r>
      <w:proofErr w:type="spellEnd"/>
      <w:r>
        <w:t xml:space="preserve"> - </w:t>
      </w:r>
      <w:r w:rsidRPr="004A52C4">
        <w:t>METODOLOGÍA GENERAL AJUSTADA</w:t>
      </w:r>
    </w:p>
    <w:p w:rsidR="00E15080" w:rsidRDefault="00E15080" w:rsidP="00E15080">
      <w:pPr>
        <w:spacing w:line="360" w:lineRule="auto"/>
      </w:pPr>
      <w:proofErr w:type="spellStart"/>
      <w:r>
        <w:t>MIPG</w:t>
      </w:r>
      <w:proofErr w:type="spellEnd"/>
      <w:r>
        <w:t xml:space="preserve"> – MODELO INTEGRADO DE PLANEACIÓN Y GESTIÓN</w:t>
      </w:r>
    </w:p>
    <w:p w:rsidR="00E15080" w:rsidRDefault="00E15080" w:rsidP="00E15080">
      <w:pPr>
        <w:spacing w:line="360" w:lineRule="auto"/>
      </w:pPr>
      <w:proofErr w:type="spellStart"/>
      <w:r>
        <w:lastRenderedPageBreak/>
        <w:t>OCI</w:t>
      </w:r>
      <w:proofErr w:type="spellEnd"/>
      <w:r>
        <w:t xml:space="preserve"> – OFICINA DE CONTROL INTERNO</w:t>
      </w:r>
    </w:p>
    <w:p w:rsidR="00E15080" w:rsidRDefault="00E15080" w:rsidP="00E15080">
      <w:pPr>
        <w:spacing w:line="360" w:lineRule="auto"/>
      </w:pPr>
      <w:r>
        <w:t>OPA – OTROS PROCEDIMIENTOS ADMINISTRATIVOS</w:t>
      </w:r>
    </w:p>
    <w:p w:rsidR="00E15080" w:rsidRPr="004A52C4" w:rsidRDefault="00E15080" w:rsidP="00E15080">
      <w:pPr>
        <w:spacing w:line="360" w:lineRule="auto"/>
      </w:pPr>
      <w:proofErr w:type="spellStart"/>
      <w:r w:rsidRPr="004A52C4">
        <w:t>OSCPR</w:t>
      </w:r>
      <w:proofErr w:type="spellEnd"/>
      <w:r w:rsidRPr="004A52C4">
        <w:t xml:space="preserve"> - ORGANIZACIONES SOCIALES, COMUNITARIAS Y PRODUCTIVAS RURALES </w:t>
      </w:r>
    </w:p>
    <w:p w:rsidR="00E15080" w:rsidRDefault="00E15080" w:rsidP="00E15080">
      <w:pPr>
        <w:spacing w:line="360" w:lineRule="auto"/>
      </w:pPr>
      <w:proofErr w:type="spellStart"/>
      <w:r>
        <w:t>OTI</w:t>
      </w:r>
      <w:proofErr w:type="spellEnd"/>
      <w:r>
        <w:t xml:space="preserve"> – OFICINA DE </w:t>
      </w:r>
      <w:proofErr w:type="spellStart"/>
      <w:r>
        <w:t>TECNOLOGIAS</w:t>
      </w:r>
      <w:proofErr w:type="spellEnd"/>
      <w:r>
        <w:t xml:space="preserve"> DE LA INFORMACIÓN</w:t>
      </w:r>
    </w:p>
    <w:p w:rsidR="00E15080" w:rsidRDefault="00E15080" w:rsidP="00E15080">
      <w:pPr>
        <w:spacing w:line="360" w:lineRule="auto"/>
      </w:pPr>
      <w:proofErr w:type="spellStart"/>
      <w:r>
        <w:t>PDAR</w:t>
      </w:r>
      <w:proofErr w:type="spellEnd"/>
      <w:r>
        <w:t xml:space="preserve"> – PLANES INTEGRALES DE DESARROLLO AGROPECUARIO Y RURAL </w:t>
      </w:r>
    </w:p>
    <w:p w:rsidR="00E15080" w:rsidRDefault="00E15080" w:rsidP="00E15080">
      <w:pPr>
        <w:spacing w:line="360" w:lineRule="auto"/>
      </w:pPr>
      <w:proofErr w:type="spellStart"/>
      <w:r>
        <w:t>PDEA</w:t>
      </w:r>
      <w:proofErr w:type="spellEnd"/>
      <w:r>
        <w:t xml:space="preserve"> – PLANES DEPARTAMENTALES DE EXTENSIÓN AGROPECUARIA</w:t>
      </w:r>
    </w:p>
    <w:p w:rsidR="00E15080" w:rsidRDefault="00E15080" w:rsidP="00E15080">
      <w:pPr>
        <w:spacing w:line="360" w:lineRule="auto"/>
      </w:pPr>
      <w:proofErr w:type="spellStart"/>
      <w:r>
        <w:t>PGD</w:t>
      </w:r>
      <w:proofErr w:type="spellEnd"/>
      <w:r>
        <w:t xml:space="preserve"> - </w:t>
      </w:r>
      <w:r w:rsidRPr="004F4F23">
        <w:t>PROGRAMA DE GESTIÓN DOCUMENTAL</w:t>
      </w:r>
    </w:p>
    <w:p w:rsidR="00E15080" w:rsidRDefault="00E15080" w:rsidP="00E15080">
      <w:pPr>
        <w:spacing w:line="360" w:lineRule="auto"/>
      </w:pPr>
      <w:proofErr w:type="spellStart"/>
      <w:r>
        <w:t>PIDAR</w:t>
      </w:r>
      <w:proofErr w:type="spellEnd"/>
      <w:r>
        <w:t xml:space="preserve"> – PROYECTOS INTEGRALES DE DESARROLLO AGROPECUARIO Y RURAL</w:t>
      </w:r>
    </w:p>
    <w:p w:rsidR="00E15080" w:rsidRDefault="00E15080" w:rsidP="00E15080">
      <w:pPr>
        <w:spacing w:line="360" w:lineRule="auto"/>
      </w:pPr>
      <w:r>
        <w:t xml:space="preserve">PINAR - </w:t>
      </w:r>
      <w:r w:rsidRPr="00877D3D">
        <w:t>PLAN INSTITUCIONAL DE ARCHIVOS</w:t>
      </w:r>
    </w:p>
    <w:p w:rsidR="00E15080" w:rsidRDefault="00E15080" w:rsidP="00E15080">
      <w:pPr>
        <w:spacing w:line="360" w:lineRule="auto"/>
      </w:pPr>
      <w:proofErr w:type="spellStart"/>
      <w:r>
        <w:t>PMA</w:t>
      </w:r>
      <w:proofErr w:type="spellEnd"/>
      <w:r>
        <w:t xml:space="preserve"> – PLAN DE MEJORAMIENTO </w:t>
      </w:r>
      <w:proofErr w:type="spellStart"/>
      <w:r>
        <w:t>ARCHIVISTICO</w:t>
      </w:r>
      <w:proofErr w:type="spellEnd"/>
    </w:p>
    <w:p w:rsidR="00E15080" w:rsidRDefault="00E15080" w:rsidP="00E15080">
      <w:pPr>
        <w:spacing w:line="360" w:lineRule="auto"/>
      </w:pPr>
      <w:proofErr w:type="spellStart"/>
      <w:r>
        <w:t>PND</w:t>
      </w:r>
      <w:proofErr w:type="spellEnd"/>
      <w:r>
        <w:t xml:space="preserve"> – PLAN NACIONAL DE DESARROLLO</w:t>
      </w:r>
    </w:p>
    <w:p w:rsidR="00E15080" w:rsidRDefault="00E15080" w:rsidP="00E15080">
      <w:pPr>
        <w:spacing w:line="360" w:lineRule="auto"/>
      </w:pPr>
      <w:proofErr w:type="spellStart"/>
      <w:r>
        <w:t>RP</w:t>
      </w:r>
      <w:proofErr w:type="spellEnd"/>
      <w:r>
        <w:t xml:space="preserve"> – REGISTRO PRESUPUESTAL</w:t>
      </w:r>
    </w:p>
    <w:p w:rsidR="00E15080" w:rsidRPr="00371064" w:rsidRDefault="00E15080" w:rsidP="00E15080">
      <w:pPr>
        <w:spacing w:line="360" w:lineRule="auto"/>
      </w:pPr>
      <w:proofErr w:type="spellStart"/>
      <w:r w:rsidRPr="00371064">
        <w:t>SDDE</w:t>
      </w:r>
      <w:proofErr w:type="spellEnd"/>
      <w:r>
        <w:t xml:space="preserve"> -</w:t>
      </w:r>
      <w:r w:rsidRPr="00371064">
        <w:t xml:space="preserve"> SECRETARIA DISTRITAL DE DESARROLLO ECONÓMICO </w:t>
      </w:r>
    </w:p>
    <w:p w:rsidR="00E15080" w:rsidRDefault="00E15080" w:rsidP="00E15080">
      <w:pPr>
        <w:spacing w:line="360" w:lineRule="auto"/>
      </w:pPr>
      <w:proofErr w:type="spellStart"/>
      <w:r>
        <w:t>SIGEP</w:t>
      </w:r>
      <w:proofErr w:type="spellEnd"/>
      <w:r>
        <w:t xml:space="preserve"> - </w:t>
      </w:r>
      <w:r w:rsidRPr="004B57D2">
        <w:t>SISTEMA DE INFORMACIÓN Y GESTIÓN DEL EMPLEO PÚBLICO</w:t>
      </w:r>
    </w:p>
    <w:p w:rsidR="00E15080" w:rsidRDefault="00E15080" w:rsidP="00E15080">
      <w:pPr>
        <w:spacing w:line="360" w:lineRule="auto"/>
      </w:pPr>
      <w:proofErr w:type="spellStart"/>
      <w:r>
        <w:t>SNIA</w:t>
      </w:r>
      <w:proofErr w:type="spellEnd"/>
      <w:r>
        <w:t xml:space="preserve"> – SISTEMA NACIONAL DE INNOVACIÓN AGROPECUARIA</w:t>
      </w:r>
    </w:p>
    <w:p w:rsidR="00E15080" w:rsidRDefault="00E15080" w:rsidP="00E15080">
      <w:pPr>
        <w:spacing w:line="360" w:lineRule="auto"/>
      </w:pPr>
      <w:proofErr w:type="spellStart"/>
      <w:r>
        <w:t>SST</w:t>
      </w:r>
      <w:proofErr w:type="spellEnd"/>
      <w:r>
        <w:t xml:space="preserve"> – SEGURIDAD Y SEGURIDAD EN EL TRABAJO</w:t>
      </w:r>
    </w:p>
    <w:p w:rsidR="00E15080" w:rsidRDefault="00E15080" w:rsidP="00E15080">
      <w:pPr>
        <w:spacing w:line="360" w:lineRule="auto"/>
      </w:pPr>
      <w:proofErr w:type="spellStart"/>
      <w:r>
        <w:t>SUIT</w:t>
      </w:r>
      <w:proofErr w:type="spellEnd"/>
      <w:r>
        <w:t xml:space="preserve"> – </w:t>
      </w:r>
      <w:r w:rsidRPr="00CF6625">
        <w:t>SISTEMA ÚNICO DE INFORMACIÓN DE TRÁMITES</w:t>
      </w:r>
    </w:p>
    <w:p w:rsidR="00E15080" w:rsidRDefault="00E15080" w:rsidP="00E15080">
      <w:pPr>
        <w:spacing w:line="360" w:lineRule="auto"/>
      </w:pPr>
      <w:r>
        <w:t xml:space="preserve">TI – </w:t>
      </w:r>
      <w:proofErr w:type="spellStart"/>
      <w:r>
        <w:t>TECNOLOGIAS</w:t>
      </w:r>
      <w:proofErr w:type="spellEnd"/>
      <w:r>
        <w:t xml:space="preserve"> DE LA INFORMACIÓN</w:t>
      </w:r>
    </w:p>
    <w:p w:rsidR="00E15080" w:rsidRPr="00371064" w:rsidRDefault="00E15080" w:rsidP="00E15080">
      <w:pPr>
        <w:spacing w:line="360" w:lineRule="auto"/>
      </w:pPr>
      <w:proofErr w:type="spellStart"/>
      <w:r w:rsidRPr="00371064">
        <w:t>UNODC</w:t>
      </w:r>
      <w:proofErr w:type="spellEnd"/>
      <w:r>
        <w:t xml:space="preserve"> - </w:t>
      </w:r>
      <w:r w:rsidRPr="00371064">
        <w:t>OFICINA DE NACIONES UNIDAS CONTRA LA DROGA Y EL DELITO</w:t>
      </w:r>
    </w:p>
    <w:p w:rsidR="00E15080" w:rsidRDefault="00E15080" w:rsidP="00E15080">
      <w:pPr>
        <w:spacing w:line="360" w:lineRule="auto"/>
      </w:pPr>
      <w:proofErr w:type="spellStart"/>
      <w:r>
        <w:t>UPRA</w:t>
      </w:r>
      <w:proofErr w:type="spellEnd"/>
      <w:r>
        <w:t xml:space="preserve"> - </w:t>
      </w:r>
      <w:r w:rsidRPr="007C5A10">
        <w:t>UNIDAD DE PLANIFICACIÓN RURAL AGROPECUARIA</w:t>
      </w:r>
    </w:p>
    <w:p w:rsidR="00E15080" w:rsidRDefault="00E15080" w:rsidP="00E15080">
      <w:pPr>
        <w:spacing w:line="360" w:lineRule="auto"/>
      </w:pPr>
      <w:proofErr w:type="spellStart"/>
      <w:r>
        <w:t>UTT</w:t>
      </w:r>
      <w:proofErr w:type="spellEnd"/>
      <w:r>
        <w:t xml:space="preserve"> – UNIDAD </w:t>
      </w:r>
      <w:proofErr w:type="spellStart"/>
      <w:r>
        <w:t>TECNICA</w:t>
      </w:r>
      <w:proofErr w:type="spellEnd"/>
      <w:r>
        <w:t xml:space="preserve"> TERRITORIAL</w:t>
      </w:r>
    </w:p>
    <w:p w:rsidR="00E15080" w:rsidRDefault="00E15080" w:rsidP="00E15080">
      <w:pPr>
        <w:spacing w:line="360" w:lineRule="auto"/>
      </w:pPr>
      <w:proofErr w:type="spellStart"/>
      <w:r>
        <w:t>VGC</w:t>
      </w:r>
      <w:proofErr w:type="spellEnd"/>
      <w:r>
        <w:t xml:space="preserve"> – VICEPRESIDENCIA DE GESTIÓN CONTRACTUAL</w:t>
      </w:r>
    </w:p>
    <w:p w:rsidR="00E15080" w:rsidRDefault="00E15080" w:rsidP="00E15080">
      <w:pPr>
        <w:spacing w:after="160" w:line="259" w:lineRule="auto"/>
        <w:rPr>
          <w:rFonts w:eastAsiaTheme="majorEastAsia" w:cstheme="majorBidi"/>
          <w:b/>
          <w:color w:val="2E74B5" w:themeColor="accent1" w:themeShade="BF"/>
          <w:sz w:val="32"/>
          <w:szCs w:val="32"/>
          <w:lang w:val="es-CO" w:eastAsia="en-US"/>
        </w:rPr>
      </w:pPr>
      <w:r>
        <w:t xml:space="preserve">VIP – VICEPRESIDENCIA DE INTEGRACIÓN </w:t>
      </w:r>
      <w:proofErr w:type="spellStart"/>
      <w:r>
        <w:t>PRDUCTIVA</w:t>
      </w:r>
      <w:proofErr w:type="spellEnd"/>
    </w:p>
    <w:p w:rsidR="00AA0DBE" w:rsidRPr="00AA0DBE" w:rsidRDefault="00AA0DBE" w:rsidP="00AA0DBE">
      <w:pPr>
        <w:pStyle w:val="Ttulo2"/>
        <w:spacing w:before="0"/>
        <w:jc w:val="center"/>
        <w:rPr>
          <w:rFonts w:ascii="Arial" w:hAnsi="Arial"/>
          <w:bCs w:val="0"/>
          <w:color w:val="2E74B5" w:themeColor="accent1" w:themeShade="BF"/>
          <w:sz w:val="32"/>
          <w:szCs w:val="32"/>
          <w:lang w:val="es-CO" w:eastAsia="en-US"/>
        </w:rPr>
      </w:pPr>
      <w:r w:rsidRPr="00AA0DBE">
        <w:rPr>
          <w:rFonts w:ascii="Arial" w:hAnsi="Arial"/>
          <w:bCs w:val="0"/>
          <w:color w:val="2E74B5" w:themeColor="accent1" w:themeShade="BF"/>
          <w:sz w:val="32"/>
          <w:szCs w:val="32"/>
          <w:lang w:val="es-CO" w:eastAsia="en-US"/>
        </w:rPr>
        <w:lastRenderedPageBreak/>
        <w:t>INFORME DE SEGUIMIENTO</w:t>
      </w:r>
    </w:p>
    <w:p w:rsidR="00AA0DBE" w:rsidRDefault="00AA0DBE" w:rsidP="00AA0DBE">
      <w:pPr>
        <w:pStyle w:val="Ttulo1"/>
        <w:spacing w:before="0"/>
        <w:jc w:val="center"/>
      </w:pPr>
      <w:r w:rsidRPr="00AA0DBE">
        <w:t>PLAN DE ACCIÓN</w:t>
      </w:r>
      <w:bookmarkEnd w:id="0"/>
      <w:r>
        <w:t xml:space="preserve"> INSTITUCIONAL ADR</w:t>
      </w:r>
    </w:p>
    <w:p w:rsidR="00C74C5C" w:rsidRDefault="00AA0DBE" w:rsidP="00C818F0">
      <w:pPr>
        <w:pStyle w:val="Ttulo1"/>
        <w:spacing w:before="0"/>
        <w:jc w:val="center"/>
      </w:pPr>
      <w:r w:rsidRPr="00AA0DBE">
        <w:t>CORTE 3</w:t>
      </w:r>
      <w:r w:rsidR="002867B8">
        <w:t>1</w:t>
      </w:r>
      <w:r w:rsidRPr="00AA0DBE">
        <w:t xml:space="preserve"> DE</w:t>
      </w:r>
      <w:r w:rsidR="00C818F0">
        <w:rPr>
          <w:color w:val="000000" w:themeColor="text1"/>
        </w:rPr>
        <w:t xml:space="preserve"> </w:t>
      </w:r>
      <w:r w:rsidR="002867B8">
        <w:t>DICIEMBRE</w:t>
      </w:r>
      <w:r w:rsidR="00C818F0">
        <w:t xml:space="preserve"> DE 2019</w:t>
      </w:r>
    </w:p>
    <w:p w:rsidR="00C818F0" w:rsidRPr="00C818F0" w:rsidRDefault="00C818F0" w:rsidP="00C818F0">
      <w:pPr>
        <w:rPr>
          <w:lang w:val="es-CO" w:eastAsia="en-US"/>
        </w:rPr>
      </w:pPr>
    </w:p>
    <w:p w:rsidR="00C74C5C" w:rsidRDefault="00C74C5C" w:rsidP="00C74C5C">
      <w:pPr>
        <w:jc w:val="both"/>
      </w:pPr>
      <w:r>
        <w:t xml:space="preserve">El seguimiento para monitorear el cumplimiento de las actividades programadas en el Plan de Acción Institucional de la Agencia de Desarrollo Rural – ADR- , se realiza </w:t>
      </w:r>
      <w:r w:rsidR="00A73B7E">
        <w:t xml:space="preserve">a través del aplicativo </w:t>
      </w:r>
      <w:proofErr w:type="spellStart"/>
      <w:r w:rsidR="00A73B7E">
        <w:t>Isolució</w:t>
      </w:r>
      <w:r>
        <w:t>n</w:t>
      </w:r>
      <w:proofErr w:type="spellEnd"/>
      <w:r>
        <w:t xml:space="preserve"> en su módulo de Planeación. Ésta herramienta permite identificar los avances, el estado del reporte, adjuntar evidencias y formular acciones de mejora para dar cumplimiento a actividades que pueden no cumplirse en las fechas programa</w:t>
      </w:r>
      <w:r w:rsidR="007E1D04">
        <w:t>das.</w:t>
      </w:r>
    </w:p>
    <w:p w:rsidR="00C74C5C" w:rsidRDefault="00C74C5C" w:rsidP="00C74C5C"/>
    <w:p w:rsidR="00C74C5C" w:rsidRDefault="00C74C5C" w:rsidP="00C74C5C">
      <w:pPr>
        <w:jc w:val="both"/>
      </w:pPr>
      <w:r>
        <w:t>En este sentido, el informe presenta el estado de avance por Línea estratégica</w:t>
      </w:r>
      <w:r w:rsidR="0055065B">
        <w:t xml:space="preserve"> y los objetivos que las componen</w:t>
      </w:r>
      <w:r>
        <w:t>,</w:t>
      </w:r>
      <w:r w:rsidR="007E1D04">
        <w:t xml:space="preserve"> </w:t>
      </w:r>
      <w:r w:rsidR="0055065B">
        <w:t>los cuales fueron planteados</w:t>
      </w:r>
      <w:r w:rsidR="007E1D04">
        <w:t xml:space="preserve"> en el marco de las Bases del Plan Nacional de Desarrollo 2018-2022 "Pacto por Colombia, pacto por la Equidad”,</w:t>
      </w:r>
      <w:r w:rsidR="0055065B">
        <w:t xml:space="preserve"> </w:t>
      </w:r>
      <w:r>
        <w:t>así:</w:t>
      </w:r>
    </w:p>
    <w:p w:rsidR="00C74C5C" w:rsidRDefault="00C74C5C" w:rsidP="00C74C5C"/>
    <w:p w:rsidR="00C74C5C" w:rsidRPr="007F3AAC" w:rsidRDefault="00C74C5C" w:rsidP="00C74C5C">
      <w:pPr>
        <w:rPr>
          <w:b/>
        </w:rPr>
      </w:pPr>
      <w:r w:rsidRPr="007F3AAC">
        <w:rPr>
          <w:b/>
        </w:rPr>
        <w:t>Línea Estratégica 1: Dinamización de la competitividad rural</w:t>
      </w:r>
    </w:p>
    <w:p w:rsidR="00C74C5C" w:rsidRDefault="00C74C5C" w:rsidP="00C74C5C"/>
    <w:p w:rsidR="00C74C5C" w:rsidRDefault="00C74C5C" w:rsidP="00C74C5C">
      <w:pPr>
        <w:pStyle w:val="Prrafodelista"/>
        <w:numPr>
          <w:ilvl w:val="0"/>
          <w:numId w:val="2"/>
        </w:numPr>
        <w:jc w:val="both"/>
      </w:pPr>
      <w:r w:rsidRPr="007F3AAC">
        <w:rPr>
          <w:b/>
        </w:rPr>
        <w:t>Objetivo estratégico 1:</w:t>
      </w:r>
      <w:r>
        <w:t xml:space="preserve"> Promover el desarrollo de capacidades para la generación sostenible de ingresos en la comunidad rural, a partir de la realización de intervenciones efectivas y acordes con la aptitud agropecuaria de los territorios.</w:t>
      </w:r>
    </w:p>
    <w:p w:rsidR="00C74C5C" w:rsidRDefault="00C74C5C" w:rsidP="00C74C5C"/>
    <w:p w:rsidR="00C74C5C" w:rsidRDefault="00C74C5C" w:rsidP="00C74C5C">
      <w:pPr>
        <w:pStyle w:val="Prrafodelista"/>
        <w:numPr>
          <w:ilvl w:val="0"/>
          <w:numId w:val="2"/>
        </w:numPr>
        <w:jc w:val="both"/>
      </w:pPr>
      <w:r w:rsidRPr="007F3AAC">
        <w:rPr>
          <w:b/>
        </w:rPr>
        <w:t>Objetivo estratégico 2:</w:t>
      </w:r>
      <w:r>
        <w:t xml:space="preserve"> Fortalecer la productividad y competitividad de las cadenas de valor y sistemas productivos del sector agropecuario, a través del acompañamiento técnico, la coordinación interinstitucional y la implementación del Subsistema Nacional de Extensión Agropecuaria.</w:t>
      </w:r>
    </w:p>
    <w:p w:rsidR="00C74C5C" w:rsidRDefault="00C74C5C" w:rsidP="00C74C5C"/>
    <w:p w:rsidR="00C74C5C" w:rsidRPr="007F3AAC" w:rsidRDefault="00C74C5C" w:rsidP="00C74C5C">
      <w:pPr>
        <w:rPr>
          <w:b/>
        </w:rPr>
      </w:pPr>
      <w:r w:rsidRPr="007F3AAC">
        <w:rPr>
          <w:b/>
        </w:rPr>
        <w:t>Línea Estratégica 2: Optimización del servicio público de adecuación de tierras</w:t>
      </w:r>
    </w:p>
    <w:p w:rsidR="00C74C5C" w:rsidRDefault="00C74C5C" w:rsidP="00C74C5C"/>
    <w:p w:rsidR="00C74C5C" w:rsidRDefault="00C74C5C" w:rsidP="00C74C5C">
      <w:pPr>
        <w:pStyle w:val="Prrafodelista"/>
        <w:numPr>
          <w:ilvl w:val="0"/>
          <w:numId w:val="3"/>
        </w:numPr>
        <w:jc w:val="both"/>
      </w:pPr>
      <w:r w:rsidRPr="007F3AAC">
        <w:rPr>
          <w:b/>
        </w:rPr>
        <w:t>Objetivo estratégico 3:</w:t>
      </w:r>
      <w:r>
        <w:t xml:space="preserve"> Aumentar la cobertura y calidad en la provisión del servicio público de adecuación de tierras.</w:t>
      </w:r>
    </w:p>
    <w:p w:rsidR="00C74C5C" w:rsidRDefault="00C74C5C" w:rsidP="00C74C5C"/>
    <w:p w:rsidR="00C74C5C" w:rsidRPr="007F3AAC" w:rsidRDefault="00C74C5C" w:rsidP="00C74C5C">
      <w:pPr>
        <w:rPr>
          <w:b/>
        </w:rPr>
      </w:pPr>
      <w:r w:rsidRPr="007F3AAC">
        <w:rPr>
          <w:b/>
        </w:rPr>
        <w:t>Línea Estratégica 3: Fortalecimiento de capacidades institucionales</w:t>
      </w:r>
    </w:p>
    <w:p w:rsidR="00C74C5C" w:rsidRDefault="00C74C5C" w:rsidP="00C74C5C"/>
    <w:p w:rsidR="00C74C5C" w:rsidRDefault="00C74C5C" w:rsidP="00C74C5C">
      <w:pPr>
        <w:pStyle w:val="Prrafodelista"/>
        <w:numPr>
          <w:ilvl w:val="0"/>
          <w:numId w:val="4"/>
        </w:numPr>
        <w:jc w:val="both"/>
      </w:pPr>
      <w:r w:rsidRPr="007F3AAC">
        <w:rPr>
          <w:b/>
        </w:rPr>
        <w:t xml:space="preserve">Objetivo estratégico 4: </w:t>
      </w:r>
      <w:r>
        <w:t>Consolidar el modelo de gestión para optimizar el desempeño institucional, la articulación interinstitucional y el uso de los recursos físicos, financieros, tecnológicos y humanos.</w:t>
      </w:r>
    </w:p>
    <w:p w:rsidR="00C74C5C" w:rsidRDefault="00C74C5C" w:rsidP="00C74C5C"/>
    <w:p w:rsidR="00AA0DBE" w:rsidRDefault="00AA0DBE" w:rsidP="00AA0DBE">
      <w:pPr>
        <w:jc w:val="both"/>
      </w:pPr>
      <w:r>
        <w:lastRenderedPageBreak/>
        <w:t>A continuación se adjunta una tabla con el avance porcentual, por línea estratégica y objetivo</w:t>
      </w:r>
      <w:r w:rsidR="0055065B">
        <w:t>s</w:t>
      </w:r>
      <w:r>
        <w:t xml:space="preserve"> estratégico</w:t>
      </w:r>
      <w:r w:rsidR="0055065B">
        <w:t>s</w:t>
      </w:r>
      <w:r>
        <w:t xml:space="preserve">, </w:t>
      </w:r>
      <w:r w:rsidR="0055065B">
        <w:t xml:space="preserve">en donde se evidencia </w:t>
      </w:r>
      <w:r w:rsidR="00315029">
        <w:t xml:space="preserve">el cumplimiento del plan </w:t>
      </w:r>
      <w:r w:rsidR="0055065B">
        <w:t xml:space="preserve">de acción institucional </w:t>
      </w:r>
      <w:r w:rsidR="00315029">
        <w:t>con corte a 3</w:t>
      </w:r>
      <w:r w:rsidR="008C0EBB">
        <w:t>1</w:t>
      </w:r>
      <w:r>
        <w:t xml:space="preserve"> de </w:t>
      </w:r>
      <w:r w:rsidR="008C0EBB">
        <w:t>diciembre</w:t>
      </w:r>
      <w:r w:rsidR="00315029">
        <w:t>:</w:t>
      </w:r>
    </w:p>
    <w:p w:rsidR="00315029" w:rsidRDefault="00315029" w:rsidP="00AA0DBE">
      <w:pPr>
        <w:jc w:val="both"/>
      </w:pPr>
    </w:p>
    <w:p w:rsidR="00AA0DBE" w:rsidRDefault="00AA0DBE" w:rsidP="00AA0DBE">
      <w:pPr>
        <w:pStyle w:val="Epgrafe"/>
        <w:ind w:left="360"/>
      </w:pPr>
      <w:r>
        <w:t xml:space="preserve">Tabla N° </w:t>
      </w:r>
      <w:fldSimple w:instr=" SEQ Tabla_N° \* ARABIC ">
        <w:r w:rsidR="00874AC6">
          <w:rPr>
            <w:noProof/>
          </w:rPr>
          <w:t>1</w:t>
        </w:r>
      </w:fldSimple>
      <w:r>
        <w:t>: Indicadores Plan de Acción Institucional V2</w:t>
      </w:r>
    </w:p>
    <w:tbl>
      <w:tblPr>
        <w:tblW w:w="8734" w:type="dxa"/>
        <w:jc w:val="center"/>
        <w:tblCellMar>
          <w:left w:w="0" w:type="dxa"/>
          <w:right w:w="0" w:type="dxa"/>
        </w:tblCellMar>
        <w:tblLook w:val="0600" w:firstRow="0" w:lastRow="0" w:firstColumn="0" w:lastColumn="0" w:noHBand="1" w:noVBand="1"/>
      </w:tblPr>
      <w:tblGrid>
        <w:gridCol w:w="6138"/>
        <w:gridCol w:w="1431"/>
        <w:gridCol w:w="1165"/>
      </w:tblGrid>
      <w:tr w:rsidR="00AA0DBE" w:rsidRPr="00315029" w:rsidTr="00507AAF">
        <w:trPr>
          <w:trHeight w:val="366"/>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AA0DBE" w:rsidRPr="00507AAF" w:rsidRDefault="00AA0DBE" w:rsidP="00E15080">
            <w:pPr>
              <w:jc w:val="center"/>
              <w:rPr>
                <w:sz w:val="20"/>
                <w:szCs w:val="16"/>
              </w:rPr>
            </w:pPr>
            <w:r w:rsidRPr="00507AAF">
              <w:rPr>
                <w:b/>
                <w:bCs/>
                <w:sz w:val="20"/>
                <w:szCs w:val="16"/>
              </w:rPr>
              <w:t>COMPOSICIÓN</w:t>
            </w:r>
          </w:p>
        </w:tc>
        <w:tc>
          <w:tcPr>
            <w:tcW w:w="14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AA0DBE" w:rsidRPr="00507AAF" w:rsidRDefault="00AA0DBE" w:rsidP="00E15080">
            <w:pPr>
              <w:jc w:val="center"/>
              <w:rPr>
                <w:sz w:val="20"/>
                <w:szCs w:val="16"/>
              </w:rPr>
            </w:pPr>
            <w:r w:rsidRPr="00507AAF">
              <w:rPr>
                <w:b/>
                <w:bCs/>
                <w:sz w:val="20"/>
                <w:szCs w:val="16"/>
              </w:rPr>
              <w:t>NÚMERO DE INDICADORES</w:t>
            </w:r>
          </w:p>
        </w:tc>
        <w:tc>
          <w:tcPr>
            <w:tcW w:w="11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AA0DBE" w:rsidRPr="00507AAF" w:rsidRDefault="00AA0DBE" w:rsidP="008C0EBB">
            <w:pPr>
              <w:jc w:val="center"/>
              <w:rPr>
                <w:sz w:val="20"/>
                <w:szCs w:val="16"/>
              </w:rPr>
            </w:pPr>
            <w:r w:rsidRPr="00507AAF">
              <w:rPr>
                <w:b/>
                <w:bCs/>
                <w:sz w:val="20"/>
                <w:szCs w:val="16"/>
              </w:rPr>
              <w:t>AVANCE % (31/1</w:t>
            </w:r>
            <w:r w:rsidR="008C0EBB" w:rsidRPr="00507AAF">
              <w:rPr>
                <w:b/>
                <w:bCs/>
                <w:sz w:val="20"/>
                <w:szCs w:val="16"/>
              </w:rPr>
              <w:t>2</w:t>
            </w:r>
            <w:r w:rsidRPr="00507AAF">
              <w:rPr>
                <w:b/>
                <w:bCs/>
                <w:sz w:val="20"/>
                <w:szCs w:val="16"/>
              </w:rPr>
              <w:t>/2019)</w:t>
            </w:r>
          </w:p>
        </w:tc>
      </w:tr>
      <w:tr w:rsidR="008C0EBB" w:rsidRPr="00315029" w:rsidTr="00507AAF">
        <w:trPr>
          <w:trHeight w:val="300"/>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rPr>
                <w:sz w:val="20"/>
                <w:szCs w:val="16"/>
              </w:rPr>
            </w:pPr>
            <w:r w:rsidRPr="00507AAF">
              <w:rPr>
                <w:b/>
                <w:bCs/>
                <w:sz w:val="20"/>
                <w:szCs w:val="16"/>
              </w:rPr>
              <w:t>Línea Estratégica 1: Dinamización de la competitividad rural</w:t>
            </w:r>
          </w:p>
        </w:tc>
        <w:tc>
          <w:tcPr>
            <w:tcW w:w="14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b/>
                <w:bCs/>
                <w:sz w:val="20"/>
                <w:szCs w:val="16"/>
              </w:rPr>
              <w:t>30</w:t>
            </w:r>
          </w:p>
        </w:tc>
        <w:tc>
          <w:tcPr>
            <w:tcW w:w="11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0F618A">
            <w:pPr>
              <w:pStyle w:val="NormalWeb"/>
              <w:spacing w:before="0" w:beforeAutospacing="0" w:after="0" w:afterAutospacing="0" w:line="256" w:lineRule="auto"/>
              <w:jc w:val="center"/>
              <w:rPr>
                <w:rFonts w:ascii="Arial" w:hAnsi="Arial" w:cs="Arial"/>
                <w:sz w:val="36"/>
                <w:szCs w:val="36"/>
              </w:rPr>
            </w:pPr>
            <w:r>
              <w:rPr>
                <w:rFonts w:ascii="Arial" w:hAnsi="Arial" w:cs="Arial"/>
                <w:b/>
                <w:bCs/>
                <w:kern w:val="24"/>
                <w:sz w:val="28"/>
                <w:szCs w:val="28"/>
              </w:rPr>
              <w:t>89</w:t>
            </w:r>
            <w:r w:rsidR="008C0EBB" w:rsidRPr="00507AAF">
              <w:rPr>
                <w:rFonts w:ascii="Arial" w:hAnsi="Arial" w:cs="Arial"/>
                <w:b/>
                <w:bCs/>
                <w:kern w:val="24"/>
                <w:sz w:val="28"/>
                <w:szCs w:val="28"/>
              </w:rPr>
              <w:t>%</w:t>
            </w:r>
          </w:p>
        </w:tc>
      </w:tr>
      <w:tr w:rsidR="008C0EBB" w:rsidRPr="00315029" w:rsidTr="001106E3">
        <w:trPr>
          <w:trHeight w:val="705"/>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315029">
            <w:pPr>
              <w:ind w:left="406"/>
              <w:jc w:val="both"/>
              <w:rPr>
                <w:sz w:val="20"/>
                <w:szCs w:val="16"/>
              </w:rPr>
            </w:pPr>
            <w:r w:rsidRPr="00507AAF">
              <w:rPr>
                <w:b/>
                <w:bCs/>
                <w:sz w:val="20"/>
                <w:szCs w:val="16"/>
              </w:rPr>
              <w:t xml:space="preserve">Objetivo estratégico 1: </w:t>
            </w:r>
            <w:r w:rsidRPr="00507AAF">
              <w:rPr>
                <w:sz w:val="20"/>
                <w:szCs w:val="16"/>
              </w:rPr>
              <w:t>Promover el desarrollo de capacidades para la generación sostenible de ingresos en la comunidad rural, a partir de la realización de intervenciones efectivas y acordes con la aptitud agropecuaria de los territorios.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sz w:val="20"/>
                <w:szCs w:val="16"/>
              </w:rPr>
              <w:t>27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pPr>
              <w:pStyle w:val="NormalWeb"/>
              <w:spacing w:before="0" w:beforeAutospacing="0" w:after="0" w:afterAutospacing="0" w:line="256" w:lineRule="auto"/>
              <w:jc w:val="center"/>
              <w:rPr>
                <w:rFonts w:ascii="Arial" w:hAnsi="Arial" w:cs="Arial"/>
                <w:sz w:val="36"/>
                <w:szCs w:val="36"/>
              </w:rPr>
            </w:pPr>
            <w:r w:rsidRPr="00507AAF">
              <w:rPr>
                <w:rFonts w:ascii="Arial" w:hAnsi="Arial" w:cs="Arial"/>
                <w:b/>
                <w:bCs/>
                <w:kern w:val="24"/>
                <w:sz w:val="28"/>
                <w:szCs w:val="28"/>
              </w:rPr>
              <w:t>86%</w:t>
            </w:r>
          </w:p>
        </w:tc>
      </w:tr>
      <w:tr w:rsidR="008C0EBB" w:rsidRPr="00315029" w:rsidTr="001106E3">
        <w:trPr>
          <w:trHeight w:val="1001"/>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315029">
            <w:pPr>
              <w:ind w:left="406"/>
              <w:jc w:val="both"/>
              <w:rPr>
                <w:sz w:val="20"/>
                <w:szCs w:val="16"/>
              </w:rPr>
            </w:pPr>
            <w:r w:rsidRPr="00507AAF">
              <w:rPr>
                <w:b/>
                <w:bCs/>
                <w:sz w:val="20"/>
                <w:szCs w:val="16"/>
              </w:rPr>
              <w:t>Objetivo estratégico 2:</w:t>
            </w:r>
            <w:r w:rsidRPr="00507AAF">
              <w:rPr>
                <w:sz w:val="20"/>
                <w:szCs w:val="16"/>
              </w:rPr>
              <w:t xml:space="preserve"> Fortalecer la productividad y competitividad de las cadenas de valor y sistemas productivos del sector agropecuario, a través del acompañamiento técnico, la coordinación interinstitucional y la implementación del Subsistema Nacional de Extensión Agropecuaria.</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sz w:val="20"/>
                <w:szCs w:val="16"/>
              </w:rPr>
              <w:t>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D16406">
            <w:pPr>
              <w:pStyle w:val="NormalWeb"/>
              <w:spacing w:before="0" w:beforeAutospacing="0" w:after="0" w:afterAutospacing="0" w:line="256" w:lineRule="auto"/>
              <w:jc w:val="center"/>
              <w:rPr>
                <w:rFonts w:ascii="Arial" w:hAnsi="Arial" w:cs="Arial"/>
                <w:sz w:val="36"/>
                <w:szCs w:val="36"/>
              </w:rPr>
            </w:pPr>
            <w:r>
              <w:rPr>
                <w:rFonts w:ascii="Arial" w:hAnsi="Arial" w:cs="Arial"/>
                <w:b/>
                <w:bCs/>
                <w:kern w:val="24"/>
                <w:sz w:val="28"/>
                <w:szCs w:val="28"/>
              </w:rPr>
              <w:t>91</w:t>
            </w:r>
            <w:r w:rsidR="008C0EBB" w:rsidRPr="00507AAF">
              <w:rPr>
                <w:rFonts w:ascii="Arial" w:hAnsi="Arial" w:cs="Arial"/>
                <w:b/>
                <w:bCs/>
                <w:kern w:val="24"/>
                <w:sz w:val="28"/>
                <w:szCs w:val="28"/>
              </w:rPr>
              <w:t>%</w:t>
            </w:r>
          </w:p>
        </w:tc>
      </w:tr>
      <w:tr w:rsidR="008C0EBB" w:rsidRPr="00315029" w:rsidTr="00507AAF">
        <w:trPr>
          <w:trHeight w:val="392"/>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3E0233">
            <w:pPr>
              <w:jc w:val="both"/>
              <w:rPr>
                <w:sz w:val="20"/>
                <w:szCs w:val="16"/>
              </w:rPr>
            </w:pPr>
            <w:r w:rsidRPr="00507AAF">
              <w:rPr>
                <w:b/>
                <w:bCs/>
                <w:sz w:val="20"/>
                <w:szCs w:val="16"/>
              </w:rPr>
              <w:t>Línea Estratégica 2: Optimización del servicio público de adecuación de tierras</w:t>
            </w:r>
          </w:p>
        </w:tc>
        <w:tc>
          <w:tcPr>
            <w:tcW w:w="14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b/>
                <w:bCs/>
                <w:sz w:val="20"/>
                <w:szCs w:val="16"/>
              </w:rPr>
              <w:t>19</w:t>
            </w:r>
          </w:p>
        </w:tc>
        <w:tc>
          <w:tcPr>
            <w:tcW w:w="11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pPr>
              <w:pStyle w:val="NormalWeb"/>
              <w:spacing w:before="0" w:beforeAutospacing="0" w:after="0" w:afterAutospacing="0" w:line="256" w:lineRule="auto"/>
              <w:jc w:val="center"/>
              <w:rPr>
                <w:rFonts w:ascii="Arial" w:hAnsi="Arial" w:cs="Arial"/>
                <w:sz w:val="36"/>
                <w:szCs w:val="36"/>
              </w:rPr>
            </w:pPr>
            <w:r w:rsidRPr="00507AAF">
              <w:rPr>
                <w:rFonts w:ascii="Arial" w:hAnsi="Arial" w:cs="Arial"/>
                <w:b/>
                <w:bCs/>
                <w:kern w:val="24"/>
                <w:sz w:val="28"/>
                <w:szCs w:val="28"/>
              </w:rPr>
              <w:t>83%</w:t>
            </w:r>
          </w:p>
        </w:tc>
      </w:tr>
      <w:tr w:rsidR="008C0EBB" w:rsidRPr="00315029" w:rsidTr="001106E3">
        <w:trPr>
          <w:trHeight w:val="585"/>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315029">
            <w:pPr>
              <w:ind w:left="406"/>
              <w:jc w:val="both"/>
              <w:rPr>
                <w:sz w:val="20"/>
                <w:szCs w:val="16"/>
              </w:rPr>
            </w:pPr>
            <w:r w:rsidRPr="00507AAF">
              <w:rPr>
                <w:b/>
                <w:bCs/>
                <w:sz w:val="20"/>
                <w:szCs w:val="16"/>
              </w:rPr>
              <w:t xml:space="preserve">Objetivo estratégico 3: </w:t>
            </w:r>
            <w:r w:rsidRPr="00507AAF">
              <w:rPr>
                <w:sz w:val="20"/>
                <w:szCs w:val="16"/>
              </w:rPr>
              <w:t>Aumentar la cobertura y calidad en la provisión del servicio público de adecuación de tierras.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sz w:val="20"/>
                <w:szCs w:val="16"/>
              </w:rPr>
              <w:t>19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pPr>
              <w:pStyle w:val="NormalWeb"/>
              <w:spacing w:before="0" w:beforeAutospacing="0" w:after="0" w:afterAutospacing="0" w:line="323" w:lineRule="atLeast"/>
              <w:jc w:val="center"/>
              <w:rPr>
                <w:rFonts w:ascii="Arial" w:hAnsi="Arial" w:cs="Arial"/>
                <w:sz w:val="36"/>
                <w:szCs w:val="36"/>
              </w:rPr>
            </w:pPr>
            <w:r w:rsidRPr="00507AAF">
              <w:rPr>
                <w:rFonts w:ascii="Arial" w:hAnsi="Arial" w:cs="Arial"/>
                <w:b/>
                <w:bCs/>
                <w:kern w:val="24"/>
                <w:sz w:val="28"/>
                <w:szCs w:val="28"/>
              </w:rPr>
              <w:t>83%</w:t>
            </w:r>
          </w:p>
        </w:tc>
      </w:tr>
      <w:tr w:rsidR="008C0EBB" w:rsidRPr="00315029" w:rsidTr="009C575D">
        <w:trPr>
          <w:trHeight w:val="296"/>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3E0233">
            <w:pPr>
              <w:jc w:val="both"/>
              <w:rPr>
                <w:sz w:val="20"/>
                <w:szCs w:val="16"/>
              </w:rPr>
            </w:pPr>
            <w:r w:rsidRPr="00507AAF">
              <w:rPr>
                <w:b/>
                <w:bCs/>
                <w:sz w:val="20"/>
                <w:szCs w:val="16"/>
              </w:rPr>
              <w:t>Línea Estratégica 3: Fortalecimiento de capacidades institucionales</w:t>
            </w:r>
          </w:p>
        </w:tc>
        <w:tc>
          <w:tcPr>
            <w:tcW w:w="14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b/>
                <w:bCs/>
                <w:sz w:val="20"/>
                <w:szCs w:val="16"/>
              </w:rPr>
              <w:t>55</w:t>
            </w:r>
          </w:p>
        </w:tc>
        <w:tc>
          <w:tcPr>
            <w:tcW w:w="11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pPr>
              <w:pStyle w:val="NormalWeb"/>
              <w:spacing w:before="0" w:beforeAutospacing="0" w:after="0" w:afterAutospacing="0" w:line="256" w:lineRule="auto"/>
              <w:jc w:val="center"/>
              <w:rPr>
                <w:rFonts w:ascii="Arial" w:hAnsi="Arial" w:cs="Arial"/>
                <w:sz w:val="36"/>
                <w:szCs w:val="36"/>
              </w:rPr>
            </w:pPr>
            <w:r w:rsidRPr="00507AAF">
              <w:rPr>
                <w:rFonts w:ascii="Arial" w:hAnsi="Arial" w:cs="Arial"/>
                <w:b/>
                <w:bCs/>
                <w:kern w:val="24"/>
                <w:sz w:val="28"/>
                <w:szCs w:val="28"/>
              </w:rPr>
              <w:t>95%</w:t>
            </w:r>
          </w:p>
        </w:tc>
      </w:tr>
      <w:tr w:rsidR="008C0EBB" w:rsidRPr="00315029" w:rsidTr="001106E3">
        <w:trPr>
          <w:trHeight w:val="541"/>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315029">
            <w:pPr>
              <w:ind w:left="406"/>
              <w:jc w:val="both"/>
              <w:rPr>
                <w:sz w:val="20"/>
                <w:szCs w:val="16"/>
              </w:rPr>
            </w:pPr>
            <w:r w:rsidRPr="00507AAF">
              <w:rPr>
                <w:b/>
                <w:bCs/>
                <w:sz w:val="20"/>
                <w:szCs w:val="16"/>
              </w:rPr>
              <w:t>Objetivo estratégico 4:</w:t>
            </w:r>
            <w:r w:rsidRPr="00507AAF">
              <w:rPr>
                <w:sz w:val="20"/>
                <w:szCs w:val="16"/>
              </w:rPr>
              <w:t xml:space="preserve"> Consolidar el modelo de gestión para optimizar el desempeño institucional, la articulación interinstitucional y el uso de los recursos físicos, financieros, tecnológicos y humanos.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sz w:val="20"/>
                <w:szCs w:val="16"/>
              </w:rPr>
              <w:t>55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C0EBB" w:rsidRPr="00507AAF" w:rsidRDefault="008C0EBB">
            <w:pPr>
              <w:pStyle w:val="NormalWeb"/>
              <w:spacing w:before="0" w:beforeAutospacing="0" w:after="0" w:afterAutospacing="0" w:line="256" w:lineRule="auto"/>
              <w:jc w:val="center"/>
              <w:rPr>
                <w:rFonts w:ascii="Arial" w:hAnsi="Arial" w:cs="Arial"/>
                <w:sz w:val="36"/>
                <w:szCs w:val="36"/>
              </w:rPr>
            </w:pPr>
            <w:r w:rsidRPr="00507AAF">
              <w:rPr>
                <w:rFonts w:ascii="Arial" w:hAnsi="Arial" w:cs="Arial"/>
                <w:b/>
                <w:bCs/>
                <w:kern w:val="24"/>
                <w:sz w:val="28"/>
                <w:szCs w:val="28"/>
              </w:rPr>
              <w:t>95%</w:t>
            </w:r>
          </w:p>
        </w:tc>
      </w:tr>
      <w:tr w:rsidR="008C0EBB" w:rsidRPr="00315029" w:rsidTr="00507AAF">
        <w:trPr>
          <w:trHeight w:val="300"/>
          <w:jc w:val="center"/>
        </w:trPr>
        <w:tc>
          <w:tcPr>
            <w:tcW w:w="61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rPr>
                <w:sz w:val="20"/>
                <w:szCs w:val="16"/>
              </w:rPr>
            </w:pPr>
            <w:r w:rsidRPr="00507AAF">
              <w:rPr>
                <w:b/>
                <w:bCs/>
                <w:sz w:val="20"/>
                <w:szCs w:val="16"/>
              </w:rPr>
              <w:t>TOTAL INDICADORES PLAN DE ACCIÓN 2019</w:t>
            </w:r>
          </w:p>
        </w:tc>
        <w:tc>
          <w:tcPr>
            <w:tcW w:w="14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8C0EBB" w:rsidP="00E15080">
            <w:pPr>
              <w:jc w:val="center"/>
              <w:rPr>
                <w:sz w:val="20"/>
                <w:szCs w:val="16"/>
              </w:rPr>
            </w:pPr>
            <w:r w:rsidRPr="00507AAF">
              <w:rPr>
                <w:b/>
                <w:bCs/>
                <w:sz w:val="20"/>
                <w:szCs w:val="16"/>
              </w:rPr>
              <w:t>104</w:t>
            </w:r>
          </w:p>
        </w:tc>
        <w:tc>
          <w:tcPr>
            <w:tcW w:w="11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5" w:type="dxa"/>
              <w:bottom w:w="0" w:type="dxa"/>
              <w:right w:w="15" w:type="dxa"/>
            </w:tcMar>
            <w:vAlign w:val="center"/>
            <w:hideMark/>
          </w:tcPr>
          <w:p w:rsidR="008C0EBB" w:rsidRPr="00507AAF" w:rsidRDefault="000F618A">
            <w:pPr>
              <w:pStyle w:val="NormalWeb"/>
              <w:spacing w:before="0" w:beforeAutospacing="0" w:after="0" w:afterAutospacing="0" w:line="254" w:lineRule="atLeast"/>
              <w:jc w:val="center"/>
              <w:rPr>
                <w:rFonts w:ascii="Arial" w:hAnsi="Arial" w:cs="Arial"/>
                <w:sz w:val="36"/>
                <w:szCs w:val="36"/>
              </w:rPr>
            </w:pPr>
            <w:r w:rsidRPr="00F92CB1">
              <w:rPr>
                <w:rFonts w:ascii="Arial" w:hAnsi="Arial" w:cs="Arial"/>
                <w:b/>
                <w:bCs/>
                <w:kern w:val="24"/>
                <w:sz w:val="28"/>
                <w:szCs w:val="28"/>
                <w14:shadow w14:blurRad="38100" w14:dist="38100" w14:dir="2700000" w14:sx="100000" w14:sy="100000" w14:kx="0" w14:ky="0" w14:algn="tl">
                  <w14:srgbClr w14:val="000000">
                    <w14:alpha w14:val="57000"/>
                  </w14:srgbClr>
                </w14:shadow>
              </w:rPr>
              <w:t>89</w:t>
            </w:r>
            <w:r w:rsidR="008C0EBB" w:rsidRPr="00F92CB1">
              <w:rPr>
                <w:rFonts w:ascii="Arial" w:hAnsi="Arial" w:cs="Arial"/>
                <w:b/>
                <w:bCs/>
                <w:kern w:val="24"/>
                <w:sz w:val="28"/>
                <w:szCs w:val="28"/>
                <w14:shadow w14:blurRad="38100" w14:dist="38100" w14:dir="2700000" w14:sx="100000" w14:sy="100000" w14:kx="0" w14:ky="0" w14:algn="tl">
                  <w14:srgbClr w14:val="000000">
                    <w14:alpha w14:val="57000"/>
                  </w14:srgbClr>
                </w14:shadow>
              </w:rPr>
              <w:t>%</w:t>
            </w:r>
          </w:p>
        </w:tc>
      </w:tr>
    </w:tbl>
    <w:p w:rsidR="00AA0DBE" w:rsidRPr="00315029" w:rsidRDefault="00315029" w:rsidP="006728EB">
      <w:pPr>
        <w:jc w:val="both"/>
        <w:rPr>
          <w:sz w:val="16"/>
        </w:rPr>
      </w:pPr>
      <w:r w:rsidRPr="006728EB">
        <w:rPr>
          <w:b/>
          <w:sz w:val="16"/>
        </w:rPr>
        <w:t>Fuente:</w:t>
      </w:r>
      <w:r w:rsidRPr="00315029">
        <w:rPr>
          <w:sz w:val="16"/>
        </w:rPr>
        <w:t xml:space="preserve"> </w:t>
      </w:r>
      <w:r w:rsidR="00F17E35">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w:t>
      </w:r>
      <w:r w:rsidR="008C0EBB">
        <w:rPr>
          <w:sz w:val="16"/>
        </w:rPr>
        <w:t>31</w:t>
      </w:r>
      <w:r w:rsidRPr="00315029">
        <w:rPr>
          <w:sz w:val="16"/>
        </w:rPr>
        <w:t xml:space="preserve"> de </w:t>
      </w:r>
      <w:r w:rsidR="008C0EBB">
        <w:rPr>
          <w:sz w:val="16"/>
        </w:rPr>
        <w:t>diciembre de 2019.</w:t>
      </w:r>
    </w:p>
    <w:p w:rsidR="00AA0DBE" w:rsidRDefault="00AA0DBE" w:rsidP="00C74C5C">
      <w:pPr>
        <w:jc w:val="both"/>
      </w:pPr>
    </w:p>
    <w:p w:rsidR="00C74C5C" w:rsidRDefault="00C74C5C" w:rsidP="00C74C5C">
      <w:pPr>
        <w:jc w:val="both"/>
      </w:pPr>
      <w:r>
        <w:t xml:space="preserve">En este sentido, </w:t>
      </w:r>
      <w:r w:rsidR="0055065B">
        <w:t>se presentan l</w:t>
      </w:r>
      <w:r>
        <w:t>os avances que reporta el aplicativo de seguimiento, para el período comprendido entre el 1°de enero y</w:t>
      </w:r>
      <w:r w:rsidR="002715F2">
        <w:t xml:space="preserve"> el 3</w:t>
      </w:r>
      <w:r w:rsidR="008C0EBB">
        <w:t>1</w:t>
      </w:r>
      <w:r>
        <w:t xml:space="preserve"> de </w:t>
      </w:r>
      <w:r w:rsidR="008C0EBB">
        <w:t>diciembre</w:t>
      </w:r>
      <w:r>
        <w:t xml:space="preserve"> de 2019, que muestra un avance promedio del </w:t>
      </w:r>
      <w:r w:rsidR="008C0EBB">
        <w:rPr>
          <w:b/>
        </w:rPr>
        <w:t>8</w:t>
      </w:r>
      <w:r w:rsidR="007617C7">
        <w:rPr>
          <w:b/>
        </w:rPr>
        <w:t>9</w:t>
      </w:r>
      <w:r w:rsidR="008C0EBB">
        <w:rPr>
          <w:b/>
        </w:rPr>
        <w:t>%</w:t>
      </w:r>
      <w:r w:rsidRPr="00332B47">
        <w:t>.</w:t>
      </w:r>
      <w:r>
        <w:t xml:space="preserve"> Sin embargo, se debe resaltar que de los </w:t>
      </w:r>
      <w:r w:rsidRPr="009D38FD">
        <w:rPr>
          <w:b/>
        </w:rPr>
        <w:t>104</w:t>
      </w:r>
      <w:r>
        <w:t xml:space="preserve"> indicadores aprobados en el Plan de Acc</w:t>
      </w:r>
      <w:r w:rsidR="00A73B7E">
        <w:t>ión de la presente vigencia, sin embargo siete (7)</w:t>
      </w:r>
      <w:r>
        <w:t xml:space="preserve"> no han reportado avances cuantitativos, sin que esto signifique que no se haya realizado gestión para su cumplimiento, lo cual se </w:t>
      </w:r>
      <w:r w:rsidR="0055065B">
        <w:t>puede</w:t>
      </w:r>
      <w:r>
        <w:t xml:space="preserve"> corroborar </w:t>
      </w:r>
      <w:r w:rsidR="000C1712">
        <w:t>más adelante</w:t>
      </w:r>
      <w:r w:rsidR="0055065B">
        <w:t>,</w:t>
      </w:r>
      <w:r w:rsidR="000C1712">
        <w:t xml:space="preserve"> al </w:t>
      </w:r>
      <w:r w:rsidR="0055065B">
        <w:t>consultar</w:t>
      </w:r>
      <w:r w:rsidR="000C1712">
        <w:t xml:space="preserve"> el detalle por objetivo estratégico.</w:t>
      </w:r>
    </w:p>
    <w:p w:rsidR="00C74C5C" w:rsidRDefault="00C74C5C" w:rsidP="00C74C5C">
      <w:pPr>
        <w:tabs>
          <w:tab w:val="left" w:pos="8234"/>
        </w:tabs>
        <w:jc w:val="both"/>
      </w:pPr>
      <w:r>
        <w:tab/>
      </w:r>
    </w:p>
    <w:p w:rsidR="002715F2" w:rsidRDefault="00C74C5C" w:rsidP="00C74C5C">
      <w:pPr>
        <w:jc w:val="both"/>
      </w:pPr>
      <w:r>
        <w:t xml:space="preserve">A continuación se </w:t>
      </w:r>
      <w:r w:rsidR="0055065B">
        <w:t>relaciona</w:t>
      </w:r>
      <w:r>
        <w:t xml:space="preserve"> un gráfico comparativo por Línea Estratégica con los avances del I, II, III</w:t>
      </w:r>
      <w:r w:rsidR="008C0EBB">
        <w:t xml:space="preserve"> y IV</w:t>
      </w:r>
      <w:r>
        <w:t xml:space="preserve"> trimestre, </w:t>
      </w:r>
      <w:r w:rsidR="0055065B">
        <w:t>evidenciándose</w:t>
      </w:r>
      <w:r>
        <w:t xml:space="preserve"> </w:t>
      </w:r>
      <w:r w:rsidR="008C0EBB">
        <w:t xml:space="preserve">el cumplimiento </w:t>
      </w:r>
      <w:r w:rsidR="002715F2">
        <w:t xml:space="preserve">en la </w:t>
      </w:r>
      <w:r w:rsidR="002B39D3">
        <w:t xml:space="preserve">Línea Estratégica </w:t>
      </w:r>
      <w:r w:rsidR="002715F2">
        <w:t>1: “Dinamizac</w:t>
      </w:r>
      <w:r w:rsidR="008C0EBB">
        <w:t xml:space="preserve">ión de la competitividad rural” en un </w:t>
      </w:r>
      <w:r w:rsidR="007617C7">
        <w:t>89</w:t>
      </w:r>
      <w:r w:rsidR="008C0EBB">
        <w:t xml:space="preserve">%, </w:t>
      </w:r>
      <w:r w:rsidR="007617C7">
        <w:t>presentando un incremento del 55</w:t>
      </w:r>
      <w:r w:rsidR="002715F2" w:rsidRPr="002B39D3">
        <w:rPr>
          <w:b/>
        </w:rPr>
        <w:t>%</w:t>
      </w:r>
      <w:r w:rsidR="002715F2">
        <w:t xml:space="preserve"> en el </w:t>
      </w:r>
      <w:r w:rsidR="008C0EBB">
        <w:t>cuarto trimestre</w:t>
      </w:r>
      <w:r w:rsidR="002B39D3">
        <w:t xml:space="preserve"> respecto a lo reportado </w:t>
      </w:r>
      <w:r w:rsidR="008C0EBB">
        <w:t>al cierre del tercer trimestre</w:t>
      </w:r>
      <w:r w:rsidR="002715F2">
        <w:t xml:space="preserve">, lo cual es representativo y está asociado al reporte del </w:t>
      </w:r>
      <w:r w:rsidR="002715F2">
        <w:lastRenderedPageBreak/>
        <w:t xml:space="preserve">cumplimiento de la meta por parte de la Dirección de Asistencia Técnica, con 20.000 usuarios </w:t>
      </w:r>
      <w:r w:rsidR="002715F2" w:rsidRPr="002715F2">
        <w:t>atendidos con servicio público de Extensión Agropecuaria</w:t>
      </w:r>
      <w:r w:rsidR="002B39D3">
        <w:t>.</w:t>
      </w:r>
    </w:p>
    <w:p w:rsidR="002801AB" w:rsidRDefault="002801AB" w:rsidP="00C74C5C">
      <w:pPr>
        <w:jc w:val="both"/>
      </w:pPr>
    </w:p>
    <w:p w:rsidR="002801AB" w:rsidRDefault="002801AB" w:rsidP="00C74C5C">
      <w:pPr>
        <w:jc w:val="both"/>
      </w:pPr>
      <w:r>
        <w:t>La Línea Estratégica 2 “</w:t>
      </w:r>
      <w:r w:rsidRPr="002801AB">
        <w:t>Optimización del servicio público de adecuación de tierras</w:t>
      </w:r>
      <w:r>
        <w:t>”</w:t>
      </w:r>
      <w:r w:rsidR="00C332B7">
        <w:t xml:space="preserve">  se alcanzó un cumplimiento del 83%,   impulsado por </w:t>
      </w:r>
      <w:r w:rsidR="00C332B7" w:rsidRPr="00C332B7">
        <w:t xml:space="preserve">la realización de los estudios de </w:t>
      </w:r>
      <w:proofErr w:type="spellStart"/>
      <w:r w:rsidR="00C332B7" w:rsidRPr="00C332B7">
        <w:t>preinversión</w:t>
      </w:r>
      <w:proofErr w:type="spellEnd"/>
      <w:r w:rsidR="00C332B7" w:rsidRPr="00C332B7">
        <w:t xml:space="preserve"> para adecuación de tierras elaborados y entregados,  el recaudo de cartera </w:t>
      </w:r>
      <w:r w:rsidR="00C332B7">
        <w:t>de $1.955 millones de pesos,</w:t>
      </w:r>
      <w:r w:rsidR="00C332B7" w:rsidRPr="00C332B7">
        <w:t xml:space="preserve"> la rehabilitación o modernización de los distritos, y los servicios de apoyo a las asociaciones de usuarios.</w:t>
      </w:r>
    </w:p>
    <w:p w:rsidR="002715F2" w:rsidRDefault="002715F2" w:rsidP="00C74C5C">
      <w:pPr>
        <w:jc w:val="both"/>
      </w:pPr>
    </w:p>
    <w:p w:rsidR="00C74C5C" w:rsidRDefault="00F765CB" w:rsidP="00C74C5C">
      <w:pPr>
        <w:jc w:val="both"/>
      </w:pPr>
      <w:r>
        <w:t>Adicionalmente</w:t>
      </w:r>
      <w:r w:rsidR="002B39D3">
        <w:t xml:space="preserve">, </w:t>
      </w:r>
      <w:r>
        <w:t xml:space="preserve"> la </w:t>
      </w:r>
      <w:r w:rsidR="002B39D3">
        <w:t>Línea Estratégica 3</w:t>
      </w:r>
      <w:r>
        <w:t xml:space="preserve"> logro </w:t>
      </w:r>
      <w:r w:rsidR="002801AB">
        <w:t>un cumplimiento promedio d</w:t>
      </w:r>
      <w:r>
        <w:t xml:space="preserve">el 95% </w:t>
      </w:r>
      <w:r w:rsidR="002801AB">
        <w:t>de las metas propuestas en el plan de acción para la vigencia 2019</w:t>
      </w:r>
      <w:r w:rsidR="002B39D3">
        <w:t xml:space="preserve">, lo que está relacionado con el cumplimiento de acciones asociadas al </w:t>
      </w:r>
      <w:r w:rsidR="00C74C5C">
        <w:t xml:space="preserve">Modelo Integrado de Planeación y Gestión, </w:t>
      </w:r>
      <w:r w:rsidR="0055065B">
        <w:t>que</w:t>
      </w:r>
      <w:r w:rsidR="00C74C5C">
        <w:t xml:space="preserve"> corresponde </w:t>
      </w:r>
      <w:r w:rsidR="0055065B">
        <w:t>a los procesos de:</w:t>
      </w:r>
      <w:r w:rsidR="00C74C5C">
        <w:t xml:space="preserve"> direccionamiento estratégico</w:t>
      </w:r>
      <w:r w:rsidR="0055065B">
        <w:t xml:space="preserve"> institucional</w:t>
      </w:r>
      <w:r w:rsidR="00C74C5C">
        <w:t xml:space="preserve">, </w:t>
      </w:r>
      <w:r w:rsidR="0055065B">
        <w:t>evaluación independiente</w:t>
      </w:r>
      <w:r w:rsidR="00C74C5C">
        <w:t xml:space="preserve">, gestión administrativa, gestión financiera, </w:t>
      </w:r>
      <w:r w:rsidR="0055065B">
        <w:t xml:space="preserve">administración de </w:t>
      </w:r>
      <w:r w:rsidR="00C74C5C">
        <w:t xml:space="preserve">sistema integrado de gestión, </w:t>
      </w:r>
      <w:r w:rsidR="000C1712">
        <w:t xml:space="preserve">gestión documental, </w:t>
      </w:r>
      <w:r w:rsidR="00C74C5C">
        <w:t xml:space="preserve">gestión de las comunicaciones y </w:t>
      </w:r>
      <w:r w:rsidR="0055065B">
        <w:t xml:space="preserve">gestión de </w:t>
      </w:r>
      <w:r w:rsidR="00C74C5C">
        <w:t xml:space="preserve">tecnologías de la información. </w:t>
      </w:r>
    </w:p>
    <w:p w:rsidR="00C74C5C" w:rsidRDefault="00C74C5C" w:rsidP="00C74C5C">
      <w:pPr>
        <w:jc w:val="both"/>
      </w:pPr>
    </w:p>
    <w:p w:rsidR="00C74C5C" w:rsidRDefault="00C74C5C" w:rsidP="00C74C5C">
      <w:pPr>
        <w:pStyle w:val="Epgrafe"/>
        <w:rPr>
          <w:bCs/>
        </w:rPr>
      </w:pPr>
      <w:bookmarkStart w:id="1" w:name="_Toc517190560"/>
      <w:r>
        <w:t xml:space="preserve">Gráfica N° </w:t>
      </w:r>
      <w:r>
        <w:rPr>
          <w:noProof/>
        </w:rPr>
        <w:fldChar w:fldCharType="begin"/>
      </w:r>
      <w:r>
        <w:rPr>
          <w:noProof/>
        </w:rPr>
        <w:instrText xml:space="preserve"> SEQ Gráfica_N°_ \* ARABIC </w:instrText>
      </w:r>
      <w:r>
        <w:rPr>
          <w:noProof/>
        </w:rPr>
        <w:fldChar w:fldCharType="separate"/>
      </w:r>
      <w:r w:rsidR="00874AC6">
        <w:rPr>
          <w:noProof/>
        </w:rPr>
        <w:t>1</w:t>
      </w:r>
      <w:r>
        <w:rPr>
          <w:noProof/>
        </w:rPr>
        <w:fldChar w:fldCharType="end"/>
      </w:r>
      <w:r>
        <w:t xml:space="preserve">: Comparativo </w:t>
      </w:r>
      <w:r w:rsidRPr="00EC6BBD">
        <w:rPr>
          <w:bCs/>
        </w:rPr>
        <w:t xml:space="preserve">avance por Línea Estratégica </w:t>
      </w:r>
      <w:bookmarkEnd w:id="1"/>
      <w:r w:rsidRPr="00EC6BBD">
        <w:rPr>
          <w:bCs/>
        </w:rPr>
        <w:t xml:space="preserve">I, II, III </w:t>
      </w:r>
      <w:r w:rsidR="008C0EBB">
        <w:rPr>
          <w:bCs/>
        </w:rPr>
        <w:t xml:space="preserve">y IV </w:t>
      </w:r>
      <w:r w:rsidRPr="00EC6BBD">
        <w:rPr>
          <w:bCs/>
        </w:rPr>
        <w:t>trimestre</w:t>
      </w:r>
      <w:r w:rsidR="00C818F0">
        <w:rPr>
          <w:bCs/>
        </w:rPr>
        <w:t xml:space="preserve">, </w:t>
      </w:r>
      <w:r w:rsidR="008C0EBB">
        <w:rPr>
          <w:bCs/>
        </w:rPr>
        <w:t>a 31 de diciembre de 2019</w:t>
      </w:r>
    </w:p>
    <w:p w:rsidR="008C0EBB" w:rsidRDefault="008C0EBB" w:rsidP="008C0EBB">
      <w:pPr>
        <w:rPr>
          <w:lang w:val="es-CO" w:eastAsia="en-US"/>
        </w:rPr>
      </w:pPr>
    </w:p>
    <w:p w:rsidR="008C0EBB" w:rsidRDefault="008B50F9" w:rsidP="008C0EBB">
      <w:pPr>
        <w:rPr>
          <w:lang w:val="es-CO" w:eastAsia="en-US"/>
        </w:rPr>
      </w:pPr>
      <w:r>
        <w:rPr>
          <w:noProof/>
          <w:lang w:val="es-CO" w:eastAsia="es-CO"/>
        </w:rPr>
        <w:drawing>
          <wp:inline distT="0" distB="0" distL="0" distR="0" wp14:anchorId="1D3EEECA" wp14:editId="16F0B59A">
            <wp:extent cx="5612130" cy="2859405"/>
            <wp:effectExtent l="0" t="0" r="2667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5E04" w:rsidRDefault="00D35E04" w:rsidP="00D35E04">
      <w:pPr>
        <w:jc w:val="both"/>
        <w:rPr>
          <w:sz w:val="16"/>
        </w:rPr>
      </w:pPr>
      <w:bookmarkStart w:id="2" w:name="_GoBack"/>
      <w:bookmarkEnd w:id="2"/>
      <w:r w:rsidRPr="006728EB">
        <w:rPr>
          <w:b/>
          <w:sz w:val="16"/>
        </w:rPr>
        <w:t>Fuente:</w:t>
      </w:r>
      <w:r w:rsidRPr="00315029">
        <w:rPr>
          <w:sz w:val="16"/>
        </w:rPr>
        <w:t xml:space="preserve"> </w:t>
      </w:r>
      <w:r>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3</w:t>
      </w:r>
      <w:r w:rsidR="008C0EBB">
        <w:rPr>
          <w:sz w:val="16"/>
        </w:rPr>
        <w:t>1</w:t>
      </w:r>
      <w:r w:rsidRPr="00315029">
        <w:rPr>
          <w:sz w:val="16"/>
        </w:rPr>
        <w:t xml:space="preserve"> de </w:t>
      </w:r>
      <w:r w:rsidR="008C0EBB">
        <w:rPr>
          <w:sz w:val="16"/>
        </w:rPr>
        <w:t>diciembre.</w:t>
      </w:r>
    </w:p>
    <w:p w:rsidR="008C0EBB" w:rsidRDefault="008C0EBB" w:rsidP="00D35E04">
      <w:pPr>
        <w:jc w:val="both"/>
        <w:rPr>
          <w:sz w:val="16"/>
        </w:rPr>
      </w:pPr>
    </w:p>
    <w:p w:rsidR="008C0EBB" w:rsidRPr="00315029" w:rsidRDefault="008C0EBB" w:rsidP="00D35E04">
      <w:pPr>
        <w:jc w:val="both"/>
        <w:rPr>
          <w:sz w:val="16"/>
        </w:rPr>
      </w:pPr>
    </w:p>
    <w:p w:rsidR="00C74C5C" w:rsidRPr="009D38FD" w:rsidRDefault="00C74C5C" w:rsidP="00C74C5C">
      <w:pPr>
        <w:pStyle w:val="Prrafodelista"/>
        <w:ind w:left="360"/>
        <w:rPr>
          <w:sz w:val="16"/>
        </w:rPr>
      </w:pPr>
    </w:p>
    <w:p w:rsidR="000C1712" w:rsidRPr="00E83DBB" w:rsidRDefault="000C1712" w:rsidP="000C1712">
      <w:pPr>
        <w:pStyle w:val="Ttulo1"/>
        <w:spacing w:before="0"/>
      </w:pPr>
      <w:bookmarkStart w:id="3" w:name="_Toc514676729"/>
      <w:bookmarkStart w:id="4" w:name="_Toc16585509"/>
      <w:r w:rsidRPr="00E83DBB">
        <w:lastRenderedPageBreak/>
        <w:t>DETALLE DE AVANCES POR LÍNEA ESTRATÉGICA</w:t>
      </w:r>
      <w:bookmarkEnd w:id="3"/>
      <w:bookmarkEnd w:id="4"/>
    </w:p>
    <w:p w:rsidR="000C1712" w:rsidRDefault="000C1712" w:rsidP="000C1712"/>
    <w:p w:rsidR="000C1712" w:rsidRPr="000621BE" w:rsidRDefault="000C1712" w:rsidP="000C1712">
      <w:pPr>
        <w:pStyle w:val="Ttulo2"/>
        <w:spacing w:before="0"/>
        <w:rPr>
          <w:rFonts w:eastAsia="Times New Roman"/>
          <w:lang w:eastAsia="es-CO"/>
        </w:rPr>
      </w:pPr>
      <w:bookmarkStart w:id="5" w:name="_Toc16585510"/>
      <w:r w:rsidRPr="00F964D3">
        <w:rPr>
          <w:rFonts w:eastAsia="Times New Roman"/>
          <w:lang w:eastAsia="es-CO"/>
        </w:rPr>
        <w:t>Línea estratégica 1: Dinamización de la competitividad rural</w:t>
      </w:r>
      <w:bookmarkEnd w:id="5"/>
    </w:p>
    <w:p w:rsidR="000C1712" w:rsidRDefault="000C1712" w:rsidP="000C1712"/>
    <w:p w:rsidR="000C1712" w:rsidRDefault="000C1712" w:rsidP="000C1712">
      <w:pPr>
        <w:jc w:val="both"/>
      </w:pPr>
      <w:r>
        <w:t xml:space="preserve">El avance por Línea Estratégica está directamente relacionado con los Objetivos Estratégicos que la conforman, por lo que en el caso particular de la Línea Estratégica 1, se consideran los </w:t>
      </w:r>
      <w:r>
        <w:rPr>
          <w:b/>
        </w:rPr>
        <w:t>30</w:t>
      </w:r>
      <w:r>
        <w:t xml:space="preserve"> indicadores de los objetivos denominados “</w:t>
      </w:r>
      <w:r w:rsidRPr="00662E27">
        <w:t xml:space="preserve">Promover el desarrollo de capacidades para la generación sostenible de ingresos en la comunidad rural, a partir de la realización de intervenciones efectivas y acordes con la vocación </w:t>
      </w:r>
      <w:r>
        <w:t>agropecuaria de los territorios”, y “</w:t>
      </w:r>
      <w:r w:rsidRPr="00662E27">
        <w:t>Fortalecer la productividad y competitividad de las cadenas de valor y sistemas productivos del sector agropecuario a través del acompañamiento técnico, la coordinación interinstitucional y la implementación del Subsistema Nac</w:t>
      </w:r>
      <w:r>
        <w:t>ional de Extensión Agropecuaria”, cuyos avances cuantitativos y cualitativos se detallan a continuación:</w:t>
      </w:r>
    </w:p>
    <w:p w:rsidR="000C1712" w:rsidRDefault="000C1712" w:rsidP="00C74C5C">
      <w:pPr>
        <w:pStyle w:val="Prrafodelista"/>
        <w:ind w:left="360"/>
      </w:pPr>
    </w:p>
    <w:p w:rsidR="00F17E35" w:rsidRDefault="00F17E35" w:rsidP="00F17E35">
      <w:pPr>
        <w:pStyle w:val="Epgrafe"/>
      </w:pPr>
      <w:r>
        <w:t xml:space="preserve">Tabla N° </w:t>
      </w:r>
      <w:fldSimple w:instr=" SEQ Tabla_N° \* ARABIC ">
        <w:r w:rsidR="00874AC6">
          <w:rPr>
            <w:noProof/>
          </w:rPr>
          <w:t>2</w:t>
        </w:r>
      </w:fldSimple>
      <w:bookmarkStart w:id="6" w:name="_Toc517190566"/>
      <w:r>
        <w:t>: Avances indicadores Objetivo Estratégico 1</w:t>
      </w:r>
      <w:bookmarkEnd w:id="6"/>
    </w:p>
    <w:tbl>
      <w:tblPr>
        <w:tblW w:w="8978" w:type="dxa"/>
        <w:tblLayout w:type="fixed"/>
        <w:tblCellMar>
          <w:left w:w="70" w:type="dxa"/>
          <w:right w:w="70" w:type="dxa"/>
        </w:tblCellMar>
        <w:tblLook w:val="04A0" w:firstRow="1" w:lastRow="0" w:firstColumn="1" w:lastColumn="0" w:noHBand="0" w:noVBand="1"/>
      </w:tblPr>
      <w:tblGrid>
        <w:gridCol w:w="1630"/>
        <w:gridCol w:w="1820"/>
        <w:gridCol w:w="676"/>
        <w:gridCol w:w="1276"/>
        <w:gridCol w:w="2016"/>
        <w:gridCol w:w="1560"/>
      </w:tblGrid>
      <w:tr w:rsidR="008D1C0D" w:rsidRPr="008F04F6" w:rsidTr="00B90824">
        <w:trPr>
          <w:trHeight w:val="294"/>
          <w:tblHeader/>
        </w:trPr>
        <w:tc>
          <w:tcPr>
            <w:tcW w:w="7418"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D1C0D" w:rsidRPr="00DC4FFD" w:rsidRDefault="008D1C0D" w:rsidP="008F04F6">
            <w:pPr>
              <w:jc w:val="both"/>
              <w:rPr>
                <w:b/>
                <w:bCs/>
                <w:color w:val="000000" w:themeColor="text1"/>
                <w:sz w:val="20"/>
                <w:szCs w:val="20"/>
                <w:lang w:val="es-CO" w:eastAsia="es-CO"/>
              </w:rPr>
            </w:pPr>
            <w:r w:rsidRPr="00DC4FFD">
              <w:rPr>
                <w:b/>
                <w:bCs/>
                <w:color w:val="000000" w:themeColor="text1"/>
                <w:sz w:val="20"/>
                <w:szCs w:val="20"/>
                <w:lang w:val="es-CO" w:eastAsia="es-CO"/>
              </w:rPr>
              <w:t>1. Promover el desarrollo de capacidades para la generación sostenible de ingresos en la comunidad rural, a partir de la realización de intervenciones efectivas y acordes con la vocación agropecuaria de los territorios.</w:t>
            </w:r>
          </w:p>
        </w:tc>
        <w:tc>
          <w:tcPr>
            <w:tcW w:w="156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8D1C0D" w:rsidRPr="00DC4FFD" w:rsidRDefault="008D1C0D" w:rsidP="008F04F6">
            <w:pPr>
              <w:jc w:val="center"/>
              <w:rPr>
                <w:b/>
                <w:bCs/>
                <w:color w:val="000000" w:themeColor="text1"/>
                <w:sz w:val="28"/>
                <w:szCs w:val="28"/>
                <w:lang w:val="es-CO" w:eastAsia="es-CO"/>
              </w:rPr>
            </w:pPr>
            <w:r w:rsidRPr="00DC4FFD">
              <w:rPr>
                <w:b/>
                <w:bCs/>
                <w:color w:val="000000" w:themeColor="text1"/>
                <w:sz w:val="28"/>
                <w:szCs w:val="28"/>
                <w:lang w:val="es-CO" w:eastAsia="es-CO"/>
              </w:rPr>
              <w:t>86%</w:t>
            </w:r>
          </w:p>
        </w:tc>
      </w:tr>
      <w:tr w:rsidR="00247E59" w:rsidRPr="008F04F6" w:rsidTr="008D1C0D">
        <w:trPr>
          <w:trHeight w:val="555"/>
          <w:tblHeader/>
        </w:trPr>
        <w:tc>
          <w:tcPr>
            <w:tcW w:w="1630" w:type="dxa"/>
            <w:tcBorders>
              <w:top w:val="nil"/>
              <w:left w:val="single" w:sz="4" w:space="0" w:color="auto"/>
              <w:bottom w:val="single" w:sz="4" w:space="0" w:color="auto"/>
              <w:right w:val="single" w:sz="4" w:space="0" w:color="auto"/>
            </w:tcBorders>
            <w:shd w:val="clear" w:color="auto" w:fill="A8D08D" w:themeFill="accent6" w:themeFillTint="99"/>
          </w:tcPr>
          <w:p w:rsidR="00247E59" w:rsidRPr="00DC4FFD" w:rsidRDefault="008D1C0D">
            <w:pPr>
              <w:jc w:val="center"/>
              <w:rPr>
                <w:b/>
                <w:color w:val="000000"/>
                <w:sz w:val="20"/>
                <w:szCs w:val="20"/>
              </w:rPr>
            </w:pPr>
            <w:r>
              <w:rPr>
                <w:b/>
                <w:color w:val="000000"/>
                <w:sz w:val="20"/>
                <w:szCs w:val="20"/>
              </w:rPr>
              <w:t>Proceso</w:t>
            </w:r>
          </w:p>
        </w:tc>
        <w:tc>
          <w:tcPr>
            <w:tcW w:w="1820" w:type="dxa"/>
            <w:tcBorders>
              <w:top w:val="nil"/>
              <w:left w:val="single" w:sz="4" w:space="0" w:color="auto"/>
              <w:bottom w:val="single" w:sz="4" w:space="0" w:color="auto"/>
              <w:right w:val="single" w:sz="4" w:space="0" w:color="auto"/>
            </w:tcBorders>
            <w:shd w:val="clear" w:color="auto" w:fill="A8D08D" w:themeFill="accent6" w:themeFillTint="99"/>
            <w:vAlign w:val="center"/>
          </w:tcPr>
          <w:p w:rsidR="00247E59" w:rsidRPr="00DC4FFD" w:rsidRDefault="00247E59">
            <w:pPr>
              <w:jc w:val="center"/>
              <w:rPr>
                <w:b/>
                <w:color w:val="000000"/>
                <w:sz w:val="20"/>
                <w:szCs w:val="20"/>
              </w:rPr>
            </w:pPr>
            <w:r w:rsidRPr="00DC4FFD">
              <w:rPr>
                <w:b/>
                <w:color w:val="000000"/>
                <w:sz w:val="20"/>
                <w:szCs w:val="20"/>
              </w:rPr>
              <w:t>Indicador</w:t>
            </w:r>
          </w:p>
        </w:tc>
        <w:tc>
          <w:tcPr>
            <w:tcW w:w="676" w:type="dxa"/>
            <w:tcBorders>
              <w:top w:val="nil"/>
              <w:left w:val="nil"/>
              <w:bottom w:val="single" w:sz="4" w:space="0" w:color="auto"/>
              <w:right w:val="single" w:sz="4" w:space="0" w:color="auto"/>
            </w:tcBorders>
            <w:shd w:val="clear" w:color="auto" w:fill="A8D08D" w:themeFill="accent6" w:themeFillTint="99"/>
            <w:vAlign w:val="center"/>
          </w:tcPr>
          <w:p w:rsidR="00247E59" w:rsidRPr="00DC4FFD" w:rsidRDefault="00247E59">
            <w:pPr>
              <w:jc w:val="center"/>
              <w:rPr>
                <w:b/>
                <w:color w:val="000000"/>
                <w:sz w:val="20"/>
                <w:szCs w:val="20"/>
              </w:rPr>
            </w:pPr>
            <w:r w:rsidRPr="00DC4FFD">
              <w:rPr>
                <w:b/>
                <w:color w:val="000000"/>
                <w:sz w:val="20"/>
                <w:szCs w:val="20"/>
              </w:rPr>
              <w:t>Meta</w:t>
            </w:r>
          </w:p>
        </w:tc>
        <w:tc>
          <w:tcPr>
            <w:tcW w:w="1276" w:type="dxa"/>
            <w:tcBorders>
              <w:top w:val="nil"/>
              <w:left w:val="nil"/>
              <w:bottom w:val="single" w:sz="4" w:space="0" w:color="auto"/>
              <w:right w:val="single" w:sz="4" w:space="0" w:color="auto"/>
            </w:tcBorders>
            <w:shd w:val="clear" w:color="auto" w:fill="A8D08D" w:themeFill="accent6" w:themeFillTint="99"/>
            <w:vAlign w:val="center"/>
          </w:tcPr>
          <w:p w:rsidR="00247E59" w:rsidRPr="00DC4FFD" w:rsidRDefault="00247E59">
            <w:pPr>
              <w:jc w:val="center"/>
              <w:rPr>
                <w:b/>
                <w:color w:val="000000"/>
                <w:sz w:val="20"/>
                <w:szCs w:val="20"/>
              </w:rPr>
            </w:pPr>
            <w:r w:rsidRPr="00DC4FFD">
              <w:rPr>
                <w:b/>
                <w:color w:val="000000"/>
                <w:sz w:val="20"/>
                <w:szCs w:val="20"/>
              </w:rPr>
              <w:t>% Avance cuantitativo</w:t>
            </w:r>
          </w:p>
        </w:tc>
        <w:tc>
          <w:tcPr>
            <w:tcW w:w="3576" w:type="dxa"/>
            <w:gridSpan w:val="2"/>
            <w:tcBorders>
              <w:top w:val="nil"/>
              <w:left w:val="nil"/>
              <w:bottom w:val="single" w:sz="4" w:space="0" w:color="auto"/>
              <w:right w:val="single" w:sz="4" w:space="0" w:color="auto"/>
            </w:tcBorders>
            <w:shd w:val="clear" w:color="auto" w:fill="A8D08D" w:themeFill="accent6" w:themeFillTint="99"/>
            <w:vAlign w:val="center"/>
          </w:tcPr>
          <w:p w:rsidR="00247E59" w:rsidRPr="00DC4FFD" w:rsidRDefault="00247E59">
            <w:pPr>
              <w:jc w:val="center"/>
              <w:rPr>
                <w:b/>
                <w:color w:val="000000"/>
                <w:sz w:val="20"/>
                <w:szCs w:val="20"/>
              </w:rPr>
            </w:pPr>
            <w:r w:rsidRPr="00DC4FFD">
              <w:rPr>
                <w:b/>
                <w:color w:val="000000"/>
                <w:sz w:val="20"/>
                <w:szCs w:val="20"/>
              </w:rPr>
              <w:t>Avance Cualitativo</w:t>
            </w:r>
          </w:p>
        </w:tc>
      </w:tr>
      <w:tr w:rsidR="008D1C0D" w:rsidRPr="008F04F6" w:rsidTr="002379F2">
        <w:trPr>
          <w:trHeight w:val="654"/>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sidRPr="008D1C0D">
              <w:rPr>
                <w:rFonts w:ascii="Calibri" w:hAnsi="Calibri"/>
                <w:color w:val="000000"/>
                <w:sz w:val="22"/>
                <w:szCs w:val="22"/>
              </w:rPr>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 xml:space="preserve">Acciones de fortalecimiento Institucional Emprendidas con </w:t>
            </w:r>
            <w:proofErr w:type="spellStart"/>
            <w:r>
              <w:rPr>
                <w:color w:val="000000"/>
                <w:sz w:val="20"/>
                <w:szCs w:val="20"/>
              </w:rPr>
              <w:t>UTT`s</w:t>
            </w:r>
            <w:proofErr w:type="spellEnd"/>
            <w:r>
              <w:rPr>
                <w:color w:val="000000"/>
                <w:sz w:val="20"/>
                <w:szCs w:val="20"/>
              </w:rPr>
              <w:t>.</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rsidP="00487E96">
            <w:pPr>
              <w:rPr>
                <w:color w:val="000000"/>
                <w:sz w:val="20"/>
                <w:szCs w:val="20"/>
              </w:rPr>
            </w:pPr>
            <w:r>
              <w:rPr>
                <w:color w:val="000000"/>
                <w:sz w:val="20"/>
                <w:szCs w:val="20"/>
              </w:rPr>
              <w:t xml:space="preserve">Durante la vigencia se realizó la capacitación en la herramienta </w:t>
            </w:r>
            <w:proofErr w:type="spellStart"/>
            <w:r>
              <w:rPr>
                <w:color w:val="000000"/>
                <w:sz w:val="20"/>
                <w:szCs w:val="20"/>
              </w:rPr>
              <w:t>SIAPSTER</w:t>
            </w:r>
            <w:proofErr w:type="spellEnd"/>
            <w:r>
              <w:rPr>
                <w:color w:val="000000"/>
                <w:sz w:val="20"/>
                <w:szCs w:val="20"/>
              </w:rPr>
              <w:t xml:space="preserve"> para facilitar la formulación de futuros </w:t>
            </w:r>
            <w:proofErr w:type="spellStart"/>
            <w:r>
              <w:rPr>
                <w:color w:val="000000"/>
                <w:sz w:val="20"/>
                <w:szCs w:val="20"/>
              </w:rPr>
              <w:t>PIDARET</w:t>
            </w:r>
            <w:proofErr w:type="spellEnd"/>
            <w:r>
              <w:rPr>
                <w:color w:val="000000"/>
                <w:sz w:val="20"/>
                <w:szCs w:val="20"/>
              </w:rPr>
              <w:t xml:space="preserve"> de forma sistemática.  Se realizó la divulgación del procedimiento de </w:t>
            </w:r>
            <w:r w:rsidR="00487E96">
              <w:rPr>
                <w:color w:val="000000"/>
                <w:sz w:val="20"/>
                <w:szCs w:val="20"/>
              </w:rPr>
              <w:t>ESTRUCTURACIÓN</w:t>
            </w:r>
            <w:r>
              <w:rPr>
                <w:color w:val="000000"/>
                <w:sz w:val="20"/>
                <w:szCs w:val="20"/>
              </w:rPr>
              <w:t xml:space="preserve"> Y FORMULACIÓN DE PROYECTOS INTEGRALES DE DESARROLLO AGROPECUARIO Y RURAL; así mismo se adelantó la construcción y divulgación del nuevo procedimiento de EJECUCIÓN DE PROYECTOS INTEGRALES DE DESARROLLO AGROPECUARIO Y RURAL CON ENFOQUE TERRITORIAL A TRAVÉS DE MODALIDAD DIRECTA.  También se llevaron a cabo jornadas de Capacitación en temas relacionados con la Estructuración e </w:t>
            </w:r>
            <w:r w:rsidR="00487E96">
              <w:rPr>
                <w:color w:val="000000"/>
                <w:sz w:val="20"/>
                <w:szCs w:val="20"/>
              </w:rPr>
              <w:t>i</w:t>
            </w:r>
            <w:r>
              <w:rPr>
                <w:color w:val="000000"/>
                <w:sz w:val="20"/>
                <w:szCs w:val="20"/>
              </w:rPr>
              <w:t xml:space="preserve">mplementación de </w:t>
            </w:r>
            <w:proofErr w:type="spellStart"/>
            <w:r>
              <w:rPr>
                <w:color w:val="000000"/>
                <w:sz w:val="20"/>
                <w:szCs w:val="20"/>
              </w:rPr>
              <w:t>PIDAR</w:t>
            </w:r>
            <w:proofErr w:type="spellEnd"/>
            <w:r>
              <w:rPr>
                <w:color w:val="000000"/>
                <w:sz w:val="20"/>
                <w:szCs w:val="20"/>
              </w:rPr>
              <w:t xml:space="preserve"> en temas como Marco Lógico y </w:t>
            </w:r>
            <w:proofErr w:type="spellStart"/>
            <w:r>
              <w:rPr>
                <w:color w:val="000000"/>
                <w:sz w:val="20"/>
                <w:szCs w:val="20"/>
              </w:rPr>
              <w:t>MGA</w:t>
            </w:r>
            <w:proofErr w:type="spellEnd"/>
            <w:r>
              <w:rPr>
                <w:color w:val="000000"/>
                <w:sz w:val="20"/>
                <w:szCs w:val="20"/>
              </w:rPr>
              <w:t>.</w:t>
            </w:r>
            <w:r w:rsidR="006D7AF7">
              <w:rPr>
                <w:color w:val="000000"/>
                <w:sz w:val="20"/>
                <w:szCs w:val="20"/>
              </w:rPr>
              <w:t xml:space="preserve">  Las </w:t>
            </w:r>
            <w:r w:rsidR="006D7AF7">
              <w:rPr>
                <w:color w:val="000000"/>
                <w:sz w:val="20"/>
                <w:szCs w:val="20"/>
              </w:rPr>
              <w:lastRenderedPageBreak/>
              <w:t xml:space="preserve">acciones de fortalecimiento se llevaron a cabo para las 13 </w:t>
            </w:r>
            <w:proofErr w:type="spellStart"/>
            <w:r w:rsidR="006D7AF7">
              <w:rPr>
                <w:color w:val="000000"/>
                <w:sz w:val="20"/>
                <w:szCs w:val="20"/>
              </w:rPr>
              <w:t>UTT</w:t>
            </w:r>
            <w:proofErr w:type="spellEnd"/>
            <w:r w:rsidR="006D7AF7">
              <w:rPr>
                <w:color w:val="000000"/>
                <w:sz w:val="20"/>
                <w:szCs w:val="20"/>
              </w:rPr>
              <w:t>.</w:t>
            </w:r>
          </w:p>
        </w:tc>
      </w:tr>
      <w:tr w:rsidR="008D1C0D" w:rsidRPr="008F04F6" w:rsidTr="002379F2">
        <w:trPr>
          <w:trHeight w:val="12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sidRPr="008D1C0D">
              <w:rPr>
                <w:rFonts w:ascii="Calibri" w:hAnsi="Calibri"/>
                <w:color w:val="000000"/>
                <w:sz w:val="22"/>
                <w:szCs w:val="22"/>
              </w:rPr>
              <w:lastRenderedPageBreak/>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Pr="008F04F6" w:rsidRDefault="008D1C0D" w:rsidP="002379F2">
            <w:pPr>
              <w:rPr>
                <w:color w:val="000000"/>
                <w:sz w:val="20"/>
                <w:szCs w:val="20"/>
                <w:lang w:val="es-CO" w:eastAsia="es-CO"/>
              </w:rPr>
            </w:pPr>
            <w:r w:rsidRPr="008F04F6">
              <w:rPr>
                <w:color w:val="000000"/>
                <w:sz w:val="20"/>
                <w:szCs w:val="20"/>
                <w:lang w:val="es-CO" w:eastAsia="es-CO"/>
              </w:rPr>
              <w:t>Grupos fortalecidos</w:t>
            </w:r>
          </w:p>
        </w:tc>
        <w:tc>
          <w:tcPr>
            <w:tcW w:w="676" w:type="dxa"/>
            <w:tcBorders>
              <w:top w:val="nil"/>
              <w:left w:val="nil"/>
              <w:bottom w:val="single" w:sz="4" w:space="0" w:color="auto"/>
              <w:right w:val="single" w:sz="4" w:space="0" w:color="auto"/>
            </w:tcBorders>
            <w:shd w:val="clear" w:color="000000" w:fill="FFFFFF"/>
            <w:vAlign w:val="center"/>
            <w:hideMark/>
          </w:tcPr>
          <w:p w:rsidR="008D1C0D" w:rsidRPr="008F04F6" w:rsidRDefault="008D1C0D" w:rsidP="008F04F6">
            <w:pPr>
              <w:jc w:val="center"/>
              <w:rPr>
                <w:color w:val="000000"/>
                <w:sz w:val="20"/>
                <w:szCs w:val="20"/>
                <w:lang w:val="es-CO" w:eastAsia="es-CO"/>
              </w:rPr>
            </w:pPr>
            <w:r w:rsidRPr="008F04F6">
              <w:rPr>
                <w:color w:val="000000"/>
                <w:sz w:val="20"/>
                <w:szCs w:val="20"/>
                <w:lang w:val="es-CO" w:eastAsia="es-CO"/>
              </w:rPr>
              <w:t>54</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Pr="008F04F6" w:rsidRDefault="008D1C0D" w:rsidP="008F04F6">
            <w:pPr>
              <w:jc w:val="center"/>
              <w:rPr>
                <w:color w:val="000000"/>
                <w:sz w:val="20"/>
                <w:szCs w:val="20"/>
                <w:lang w:val="es-CO" w:eastAsia="es-CO"/>
              </w:rPr>
            </w:pPr>
            <w:r w:rsidRPr="008F04F6">
              <w:rPr>
                <w:color w:val="000000"/>
                <w:sz w:val="20"/>
                <w:szCs w:val="20"/>
                <w:lang w:val="es-CO" w:eastAsia="es-CO"/>
              </w:rPr>
              <w:t>9%</w:t>
            </w:r>
          </w:p>
        </w:tc>
        <w:tc>
          <w:tcPr>
            <w:tcW w:w="3576" w:type="dxa"/>
            <w:gridSpan w:val="2"/>
            <w:tcBorders>
              <w:top w:val="nil"/>
              <w:left w:val="nil"/>
              <w:bottom w:val="single" w:sz="4" w:space="0" w:color="auto"/>
              <w:right w:val="single" w:sz="4" w:space="0" w:color="auto"/>
            </w:tcBorders>
            <w:shd w:val="clear" w:color="auto" w:fill="auto"/>
            <w:hideMark/>
          </w:tcPr>
          <w:p w:rsidR="008D1C0D" w:rsidRPr="008F04F6" w:rsidRDefault="008D1C0D" w:rsidP="008F04F6">
            <w:pPr>
              <w:jc w:val="both"/>
              <w:rPr>
                <w:color w:val="000000"/>
                <w:sz w:val="20"/>
                <w:szCs w:val="20"/>
                <w:lang w:val="es-CO" w:eastAsia="es-CO"/>
              </w:rPr>
            </w:pPr>
            <w:r w:rsidRPr="008F04F6">
              <w:rPr>
                <w:color w:val="000000"/>
                <w:sz w:val="20"/>
                <w:szCs w:val="20"/>
                <w:lang w:val="es-CO" w:eastAsia="es-CO"/>
              </w:rPr>
              <w:t xml:space="preserve">Durante el 2019 se han fortalecido respecto al "Modelo de Atención y Prestación de Servicios de Apoyo a la Comercialización”, a entidades públicas y privadas con grupos de actores de cadenas empresariales y actores territoriales ubicados en Magdalena, </w:t>
            </w:r>
            <w:proofErr w:type="spellStart"/>
            <w:r w:rsidRPr="008F04F6">
              <w:rPr>
                <w:color w:val="000000"/>
                <w:sz w:val="20"/>
                <w:szCs w:val="20"/>
                <w:lang w:val="es-CO" w:eastAsia="es-CO"/>
              </w:rPr>
              <w:t>Guanía</w:t>
            </w:r>
            <w:proofErr w:type="spellEnd"/>
            <w:r w:rsidRPr="008F04F6">
              <w:rPr>
                <w:color w:val="000000"/>
                <w:sz w:val="20"/>
                <w:szCs w:val="20"/>
                <w:lang w:val="es-CO" w:eastAsia="es-CO"/>
              </w:rPr>
              <w:t>, Cundinamarca, Amazonas y Meta.</w:t>
            </w:r>
          </w:p>
        </w:tc>
      </w:tr>
      <w:tr w:rsidR="008D1C0D" w:rsidRPr="008F04F6" w:rsidTr="008D1C0D">
        <w:trPr>
          <w:trHeight w:val="9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 xml:space="preserve">Promoción y apoyo a la </w:t>
            </w:r>
            <w:proofErr w:type="spellStart"/>
            <w:r>
              <w:rPr>
                <w:rFonts w:ascii="Calibri" w:hAnsi="Calibri"/>
                <w:color w:val="000000"/>
                <w:sz w:val="22"/>
                <w:szCs w:val="22"/>
              </w:rPr>
              <w:t>asociatividad</w:t>
            </w:r>
            <w:proofErr w:type="spellEnd"/>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Inventario de organizaciones sociales, comunitarias y productivas actualizado</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Se realizaron los cuatros informes consolidados  de inventario de organizaciones sociales, comunitarias y productivas rurales , el cual contiene la información remitida por las </w:t>
            </w:r>
            <w:proofErr w:type="spellStart"/>
            <w:r>
              <w:rPr>
                <w:color w:val="000000"/>
                <w:sz w:val="20"/>
                <w:szCs w:val="20"/>
              </w:rPr>
              <w:t>UTT's</w:t>
            </w:r>
            <w:proofErr w:type="spellEnd"/>
            <w:r>
              <w:rPr>
                <w:color w:val="000000"/>
                <w:sz w:val="20"/>
                <w:szCs w:val="20"/>
              </w:rPr>
              <w:t xml:space="preserve"> para la vigencia</w:t>
            </w:r>
          </w:p>
        </w:tc>
      </w:tr>
      <w:tr w:rsidR="008D1C0D" w:rsidRPr="008F04F6" w:rsidTr="008D1C0D">
        <w:trPr>
          <w:trHeight w:val="1807"/>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Evaluación, calificación y cofinanciación de proyectos 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Nivel de avance en la estrategia de Proyectos Integrales de Desarrollo Agropecuario y Rural</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3.626</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143.38 %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rsidP="00487E96">
            <w:pPr>
              <w:jc w:val="both"/>
              <w:rPr>
                <w:color w:val="000000"/>
                <w:sz w:val="20"/>
                <w:szCs w:val="20"/>
              </w:rPr>
            </w:pPr>
            <w:r>
              <w:rPr>
                <w:color w:val="000000"/>
                <w:sz w:val="20"/>
                <w:szCs w:val="20"/>
              </w:rPr>
              <w:t>Se tiene acumulado 5199 beneficiarios</w:t>
            </w:r>
            <w:r w:rsidR="00487E96">
              <w:rPr>
                <w:color w:val="000000"/>
                <w:sz w:val="20"/>
                <w:szCs w:val="20"/>
              </w:rPr>
              <w:t xml:space="preserve"> por los 41 proyectos cofinanciados por la ADR en la vigencia 2019</w:t>
            </w:r>
            <w:r>
              <w:rPr>
                <w:color w:val="000000"/>
                <w:sz w:val="20"/>
                <w:szCs w:val="20"/>
              </w:rPr>
              <w:t>.</w:t>
            </w:r>
          </w:p>
        </w:tc>
      </w:tr>
      <w:tr w:rsidR="008D1C0D" w:rsidRPr="008F04F6" w:rsidTr="008D1C0D">
        <w:trPr>
          <w:trHeight w:val="3600"/>
        </w:trPr>
        <w:tc>
          <w:tcPr>
            <w:tcW w:w="1630" w:type="dxa"/>
            <w:tcBorders>
              <w:top w:val="nil"/>
              <w:left w:val="single" w:sz="4" w:space="0" w:color="auto"/>
              <w:bottom w:val="single" w:sz="4" w:space="0" w:color="auto"/>
              <w:right w:val="single" w:sz="4" w:space="0" w:color="auto"/>
            </w:tcBorders>
            <w:vAlign w:val="center"/>
          </w:tcPr>
          <w:p w:rsidR="008D1C0D" w:rsidRDefault="008D1C0D" w:rsidP="008D1C0D">
            <w:pPr>
              <w:jc w:val="both"/>
              <w:rPr>
                <w:rFonts w:ascii="Calibri" w:hAnsi="Calibri"/>
                <w:color w:val="000000"/>
                <w:sz w:val="22"/>
                <w:szCs w:val="22"/>
              </w:rPr>
            </w:pPr>
            <w:r>
              <w:rPr>
                <w:rFonts w:ascii="Calibri" w:hAnsi="Calibri"/>
                <w:color w:val="000000"/>
                <w:sz w:val="22"/>
                <w:szCs w:val="22"/>
              </w:rPr>
              <w:t xml:space="preserve">Promoción y apoyo a la </w:t>
            </w:r>
            <w:proofErr w:type="spellStart"/>
            <w:r>
              <w:rPr>
                <w:rFonts w:ascii="Calibri" w:hAnsi="Calibri"/>
                <w:color w:val="000000"/>
                <w:sz w:val="22"/>
                <w:szCs w:val="22"/>
              </w:rPr>
              <w:t>asociatividad</w:t>
            </w:r>
            <w:proofErr w:type="spellEnd"/>
          </w:p>
          <w:p w:rsidR="008D1C0D" w:rsidRDefault="008D1C0D">
            <w:pPr>
              <w:jc w:val="both"/>
              <w:rPr>
                <w:rFonts w:ascii="Calibri" w:hAnsi="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 xml:space="preserve">Número de asociaciones apoyadas en el marco de la estrategia de fomento de la </w:t>
            </w:r>
            <w:proofErr w:type="spellStart"/>
            <w:r>
              <w:rPr>
                <w:color w:val="000000"/>
                <w:sz w:val="20"/>
                <w:szCs w:val="20"/>
              </w:rPr>
              <w:t>asociatividad</w:t>
            </w:r>
            <w:proofErr w:type="spellEnd"/>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170 %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rsidP="00487E96">
            <w:pPr>
              <w:jc w:val="both"/>
              <w:rPr>
                <w:color w:val="000000"/>
                <w:sz w:val="20"/>
                <w:szCs w:val="20"/>
              </w:rPr>
            </w:pPr>
            <w:r>
              <w:rPr>
                <w:color w:val="000000"/>
                <w:sz w:val="20"/>
                <w:szCs w:val="20"/>
              </w:rPr>
              <w:t xml:space="preserve">Mediante la estrategia de fomento asociativo y la implementación de la ruta a la </w:t>
            </w:r>
            <w:proofErr w:type="spellStart"/>
            <w:r>
              <w:rPr>
                <w:color w:val="000000"/>
                <w:sz w:val="20"/>
                <w:szCs w:val="20"/>
              </w:rPr>
              <w:t>asociatividad</w:t>
            </w:r>
            <w:proofErr w:type="spellEnd"/>
            <w:r>
              <w:rPr>
                <w:color w:val="000000"/>
                <w:sz w:val="20"/>
                <w:szCs w:val="20"/>
              </w:rPr>
              <w:t xml:space="preserve"> rural se realizó el acompañamiento a </w:t>
            </w:r>
            <w:r>
              <w:rPr>
                <w:b/>
                <w:bCs/>
                <w:color w:val="000000"/>
                <w:sz w:val="20"/>
                <w:szCs w:val="20"/>
              </w:rPr>
              <w:t>17</w:t>
            </w:r>
            <w:r>
              <w:rPr>
                <w:color w:val="000000"/>
                <w:sz w:val="20"/>
                <w:szCs w:val="20"/>
              </w:rPr>
              <w:t xml:space="preserve"> grupos de productores dispersos los cuales</w:t>
            </w:r>
            <w:r w:rsidR="00487E96">
              <w:rPr>
                <w:color w:val="000000"/>
                <w:sz w:val="20"/>
                <w:szCs w:val="20"/>
              </w:rPr>
              <w:t xml:space="preserve"> </w:t>
            </w:r>
            <w:r>
              <w:rPr>
                <w:color w:val="000000"/>
                <w:sz w:val="20"/>
                <w:szCs w:val="20"/>
              </w:rPr>
              <w:t xml:space="preserve">desean iniciar un proceso asociativo. Estos grupos solicitaron el acompañamiento y se identificaron con la iniciativa de asociarse en los 8 Encuentros Territoriales Escuelas de </w:t>
            </w:r>
            <w:proofErr w:type="spellStart"/>
            <w:r>
              <w:rPr>
                <w:color w:val="000000"/>
                <w:sz w:val="20"/>
                <w:szCs w:val="20"/>
              </w:rPr>
              <w:t>Asociatividad</w:t>
            </w:r>
            <w:proofErr w:type="spellEnd"/>
            <w:r>
              <w:rPr>
                <w:color w:val="000000"/>
                <w:sz w:val="20"/>
                <w:szCs w:val="20"/>
              </w:rPr>
              <w:t xml:space="preserve"> realizados a la fecha.</w:t>
            </w:r>
            <w:r w:rsidR="00487E96">
              <w:rPr>
                <w:color w:val="000000"/>
                <w:sz w:val="20"/>
                <w:szCs w:val="20"/>
              </w:rPr>
              <w:t xml:space="preserve">  Los 17 grupos de productores se encuentran en proceso de conformación de asociaciones.</w:t>
            </w:r>
          </w:p>
        </w:tc>
      </w:tr>
      <w:tr w:rsidR="008D1C0D" w:rsidRPr="008F04F6" w:rsidTr="008D1C0D">
        <w:trPr>
          <w:trHeight w:val="18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lastRenderedPageBreak/>
              <w:t xml:space="preserve">Promoción y apoyo a la </w:t>
            </w:r>
            <w:proofErr w:type="spellStart"/>
            <w:r>
              <w:rPr>
                <w:rFonts w:ascii="Calibri" w:hAnsi="Calibri"/>
                <w:color w:val="000000"/>
                <w:sz w:val="22"/>
                <w:szCs w:val="22"/>
              </w:rPr>
              <w:t>asociatividad</w:t>
            </w:r>
            <w:proofErr w:type="spellEnd"/>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Número de asociaciones intervenidas en el proceso de fortalecimiento asociativo</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140 %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A 31 de diciembre de 2019, se reportan 70 organizaciones sociales, comunitarias y productivas rurales intervenidas en el proceso de fortalecimiento asociativo en los departamentos de Choco, Antioquia, Meta, Vaupés, Putumayo, Nariño, Cesar, Boyacá, Atlántico, Córdoba, Cesar, Magdalena, Bolívar, Cundinamarca y Huila. Desde la DPA se realiza el seguimiento respectivo a la implementación de los planes. Los planes de fortalecimiento formulados se encuentran en fase de implementación. </w:t>
            </w:r>
          </w:p>
        </w:tc>
      </w:tr>
      <w:tr w:rsidR="008D1C0D" w:rsidRPr="008F04F6" w:rsidTr="008D1C0D">
        <w:trPr>
          <w:trHeight w:val="12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rPr>
                <w:color w:val="000000"/>
                <w:sz w:val="20"/>
                <w:szCs w:val="20"/>
              </w:rPr>
            </w:pPr>
            <w:r>
              <w:rPr>
                <w:color w:val="000000"/>
                <w:sz w:val="20"/>
                <w:szCs w:val="20"/>
              </w:rPr>
              <w:t xml:space="preserve">Número de estrategias </w:t>
            </w:r>
            <w:r w:rsidR="005831A0">
              <w:rPr>
                <w:color w:val="000000"/>
                <w:sz w:val="20"/>
                <w:szCs w:val="20"/>
              </w:rPr>
              <w:t xml:space="preserve">de divulgación </w:t>
            </w:r>
            <w:r>
              <w:rPr>
                <w:color w:val="000000"/>
                <w:sz w:val="20"/>
                <w:szCs w:val="20"/>
              </w:rPr>
              <w:t>implementadas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5831A0" w:rsidP="005831A0">
            <w:pPr>
              <w:jc w:val="both"/>
              <w:rPr>
                <w:color w:val="000000"/>
                <w:sz w:val="20"/>
                <w:szCs w:val="20"/>
              </w:rPr>
            </w:pPr>
            <w:r>
              <w:rPr>
                <w:color w:val="000000"/>
                <w:sz w:val="20"/>
                <w:szCs w:val="20"/>
              </w:rPr>
              <w:t>El</w:t>
            </w:r>
            <w:r w:rsidR="008D1C0D">
              <w:rPr>
                <w:color w:val="000000"/>
                <w:sz w:val="20"/>
                <w:szCs w:val="20"/>
              </w:rPr>
              <w:t xml:space="preserve"> Plan estratégico de comunicaciones</w:t>
            </w:r>
            <w:r>
              <w:rPr>
                <w:color w:val="000000"/>
                <w:sz w:val="20"/>
                <w:szCs w:val="20"/>
              </w:rPr>
              <w:t xml:space="preserve"> incluye la estrategia de divulgación a la comunidad de los objetivos, requisitos y ejecución de los Planes y Proyectos Integrales de Desarrollo Agropecuario y rural, dicha estrategia fue a</w:t>
            </w:r>
            <w:r w:rsidR="008D1C0D">
              <w:rPr>
                <w:color w:val="000000"/>
                <w:sz w:val="20"/>
                <w:szCs w:val="20"/>
              </w:rPr>
              <w:t>dopta</w:t>
            </w:r>
            <w:r>
              <w:rPr>
                <w:color w:val="000000"/>
                <w:sz w:val="20"/>
                <w:szCs w:val="20"/>
              </w:rPr>
              <w:t xml:space="preserve">da por medio de la </w:t>
            </w:r>
            <w:r w:rsidR="008D1C0D">
              <w:rPr>
                <w:color w:val="000000"/>
                <w:sz w:val="20"/>
                <w:szCs w:val="20"/>
              </w:rPr>
              <w:t>Resolución N°</w:t>
            </w:r>
            <w:r>
              <w:rPr>
                <w:color w:val="000000"/>
                <w:sz w:val="20"/>
                <w:szCs w:val="20"/>
              </w:rPr>
              <w:t xml:space="preserve"> 716 del 8 de octubre del 2019.  Las acciones contempladas en el Plan Estratégico de Comunicaciones se </w:t>
            </w:r>
            <w:r w:rsidR="00DE5A5B">
              <w:rPr>
                <w:color w:val="000000"/>
                <w:sz w:val="20"/>
                <w:szCs w:val="20"/>
              </w:rPr>
              <w:t>ejecutaron</w:t>
            </w:r>
            <w:r>
              <w:rPr>
                <w:color w:val="000000"/>
                <w:sz w:val="20"/>
                <w:szCs w:val="20"/>
              </w:rPr>
              <w:t xml:space="preserve"> durante los meses de noviembre y diciembre.</w:t>
            </w:r>
          </w:p>
        </w:tc>
      </w:tr>
      <w:tr w:rsidR="008D1C0D" w:rsidRPr="008F04F6" w:rsidTr="008D1C0D">
        <w:trPr>
          <w:trHeight w:val="1736"/>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Seguimiento y control de los proyectos 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informes trimestrales de alertas generadas de los Proyectos Integrales de Desarrollo Agropecuario y Rural</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Se elaboró y entrego el cuarto  informe trimestral, donde se resalta que se han abierto 67 alertas a 31 proyectos desde que iniciaron las primeras v</w:t>
            </w:r>
            <w:r w:rsidR="00FF0AB3">
              <w:rPr>
                <w:color w:val="000000"/>
                <w:sz w:val="20"/>
                <w:szCs w:val="20"/>
              </w:rPr>
              <w:t>isitas de seguimiento y control.  Durante el año 2019 se realizaron en total 126 visitas de seguimiento</w:t>
            </w:r>
          </w:p>
        </w:tc>
      </w:tr>
      <w:tr w:rsidR="008D1C0D" w:rsidRPr="008F04F6" w:rsidTr="004C755D">
        <w:trPr>
          <w:trHeight w:val="5898"/>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lastRenderedPageBreak/>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Pr="008F04F6" w:rsidRDefault="008D1C0D" w:rsidP="004C755D">
            <w:pPr>
              <w:rPr>
                <w:color w:val="000000"/>
                <w:sz w:val="20"/>
                <w:szCs w:val="20"/>
                <w:lang w:val="es-CO" w:eastAsia="es-CO"/>
              </w:rPr>
            </w:pPr>
            <w:r w:rsidRPr="008F04F6">
              <w:rPr>
                <w:color w:val="000000"/>
                <w:sz w:val="20"/>
                <w:szCs w:val="20"/>
                <w:lang w:val="es-CO" w:eastAsia="es-CO"/>
              </w:rPr>
              <w:t>Número de Organizaciones de Productores priorizadas, con participación en el desarrollo de Circuitos Cortos (ruedas de negocios, mercados campesinos, compras públicas, ferias comerciales) apoyadas</w:t>
            </w:r>
          </w:p>
        </w:tc>
        <w:tc>
          <w:tcPr>
            <w:tcW w:w="676" w:type="dxa"/>
            <w:tcBorders>
              <w:top w:val="nil"/>
              <w:left w:val="nil"/>
              <w:bottom w:val="single" w:sz="4" w:space="0" w:color="auto"/>
              <w:right w:val="single" w:sz="4" w:space="0" w:color="auto"/>
            </w:tcBorders>
            <w:shd w:val="clear" w:color="000000" w:fill="FFFFFF"/>
            <w:vAlign w:val="center"/>
            <w:hideMark/>
          </w:tcPr>
          <w:p w:rsidR="008D1C0D" w:rsidRPr="008F04F6" w:rsidRDefault="008D1C0D" w:rsidP="008F04F6">
            <w:pPr>
              <w:jc w:val="center"/>
              <w:rPr>
                <w:color w:val="000000"/>
                <w:sz w:val="20"/>
                <w:szCs w:val="20"/>
                <w:lang w:val="es-CO" w:eastAsia="es-CO"/>
              </w:rPr>
            </w:pPr>
            <w:r w:rsidRPr="008F04F6">
              <w:rPr>
                <w:color w:val="000000"/>
                <w:sz w:val="20"/>
                <w:szCs w:val="20"/>
                <w:lang w:val="es-CO" w:eastAsia="es-CO"/>
              </w:rPr>
              <w:t>79</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Pr="008F04F6" w:rsidRDefault="008D1C0D" w:rsidP="008F04F6">
            <w:pPr>
              <w:jc w:val="center"/>
              <w:rPr>
                <w:color w:val="000000"/>
                <w:sz w:val="20"/>
                <w:szCs w:val="20"/>
                <w:lang w:val="es-CO" w:eastAsia="es-CO"/>
              </w:rPr>
            </w:pPr>
            <w:r w:rsidRPr="008F04F6">
              <w:rPr>
                <w:color w:val="000000"/>
                <w:sz w:val="20"/>
                <w:szCs w:val="20"/>
                <w:lang w:val="es-CO" w:eastAsia="es-CO"/>
              </w:rPr>
              <w:t>100%</w:t>
            </w:r>
          </w:p>
        </w:tc>
        <w:tc>
          <w:tcPr>
            <w:tcW w:w="3576" w:type="dxa"/>
            <w:gridSpan w:val="2"/>
            <w:tcBorders>
              <w:top w:val="nil"/>
              <w:left w:val="nil"/>
              <w:bottom w:val="single" w:sz="4" w:space="0" w:color="auto"/>
              <w:right w:val="single" w:sz="4" w:space="0" w:color="auto"/>
            </w:tcBorders>
            <w:shd w:val="clear" w:color="auto" w:fill="auto"/>
            <w:hideMark/>
          </w:tcPr>
          <w:p w:rsidR="008D1C0D" w:rsidRPr="008F04F6" w:rsidRDefault="008D1C0D" w:rsidP="008F04F6">
            <w:pPr>
              <w:jc w:val="both"/>
              <w:rPr>
                <w:color w:val="000000"/>
                <w:sz w:val="20"/>
                <w:szCs w:val="20"/>
                <w:lang w:val="es-CO" w:eastAsia="es-CO"/>
              </w:rPr>
            </w:pPr>
            <w:r w:rsidRPr="008F04F6">
              <w:rPr>
                <w:color w:val="000000"/>
                <w:sz w:val="20"/>
                <w:szCs w:val="20"/>
                <w:lang w:val="es-CO" w:eastAsia="es-CO"/>
              </w:rPr>
              <w:t>A través de la metodología de Planeación, organización, implementación y evaluación de mercados campesinos, la ADR ha adelantado la articulación interinstitucional en territorio necesaria para el desarrollo de este tipo de circuitos logrando la realización en lo corrido del año de 48 Jornadas de Mercados Campesinos, con la participación de</w:t>
            </w:r>
            <w:r w:rsidRPr="008F04F6">
              <w:rPr>
                <w:b/>
                <w:bCs/>
                <w:color w:val="000000"/>
                <w:sz w:val="20"/>
                <w:szCs w:val="20"/>
                <w:lang w:val="es-CO" w:eastAsia="es-CO"/>
              </w:rPr>
              <w:t xml:space="preserve"> 506</w:t>
            </w:r>
            <w:r w:rsidRPr="008F04F6">
              <w:rPr>
                <w:color w:val="000000"/>
                <w:sz w:val="20"/>
                <w:szCs w:val="20"/>
                <w:lang w:val="es-CO" w:eastAsia="es-CO"/>
              </w:rPr>
              <w:t xml:space="preserve"> organizaciones de productores, de 15 departamentos, las cuales han logrado ventas directas a consumidores finales por $ 591.158.180. En cuanto a la metodología de Encuentros Comerciales a través de Ruedas de Negocio Agroalimentarias, se han realizado a la fecha 16 Ruedas de Negocio de Compras Públicas con 433 acuerdos comerciales suscritos por $ 5´800 millones mensuales y 2 Ruedas de Negocios con sector privado con 7 acuerdos por $326.000 millones mensuales.</w:t>
            </w:r>
          </w:p>
        </w:tc>
      </w:tr>
      <w:tr w:rsidR="008D1C0D" w:rsidRPr="008F04F6" w:rsidTr="008D1C0D">
        <w:trPr>
          <w:trHeight w:val="937"/>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Organizaciones de Productores priorizadas, con participación en el desarrollo de encadenamientos comerciales, apoyadas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38</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En la vigencia 2019, 38  organizaciones de productores que participaron en Encadenamientos Comerciales. Como resultado de la ejecución de la política de Agricultura por Contrato y la estrategia definida por el </w:t>
            </w:r>
            <w:proofErr w:type="spellStart"/>
            <w:r>
              <w:rPr>
                <w:color w:val="000000"/>
                <w:sz w:val="20"/>
                <w:szCs w:val="20"/>
              </w:rPr>
              <w:t>MADR</w:t>
            </w:r>
            <w:proofErr w:type="spellEnd"/>
            <w:r>
              <w:rPr>
                <w:color w:val="000000"/>
                <w:sz w:val="20"/>
                <w:szCs w:val="20"/>
              </w:rPr>
              <w:t xml:space="preserve"> para ello, la Agencia de Desarrollo Rural a través de sus servicios de apoyo a la comercialización ha contribuido a la vinculación de 5.104 productores vinculados a 114 acuerdos comerciales suscritos en 85 municipios pertenecientes a 22 departamentos, los cuales significan ventas por más de $5.226 millones de pesos.</w:t>
            </w:r>
          </w:p>
        </w:tc>
      </w:tr>
      <w:tr w:rsidR="008D1C0D" w:rsidRPr="008F04F6" w:rsidTr="008D1C0D">
        <w:trPr>
          <w:trHeight w:val="214"/>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sidRPr="008D1C0D">
              <w:rPr>
                <w:rFonts w:ascii="Calibri" w:hAnsi="Calibri"/>
                <w:color w:val="000000"/>
                <w:sz w:val="22"/>
                <w:szCs w:val="22"/>
              </w:rPr>
              <w:lastRenderedPageBreak/>
              <w:t>Estructuración de planes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planes departamentales de desarrollo agropecuario y rural acompañados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90.91 %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 Se adelantó la presentación de la estrategia de implementación de </w:t>
            </w:r>
            <w:proofErr w:type="spellStart"/>
            <w:r>
              <w:rPr>
                <w:color w:val="000000"/>
                <w:sz w:val="20"/>
                <w:szCs w:val="20"/>
              </w:rPr>
              <w:t>PIDARET</w:t>
            </w:r>
            <w:proofErr w:type="spellEnd"/>
            <w:r>
              <w:rPr>
                <w:color w:val="000000"/>
                <w:sz w:val="20"/>
                <w:szCs w:val="20"/>
              </w:rPr>
              <w:t xml:space="preserve"> en el marco de las Mesas por el Desarrollo Agropecuario y Rural ante las instituciones territoriales asistentes y los acaldes electos o sus representantes en los departamentos de Antioquia, Boyacá, Cesar, Caldas, Nariño, Atlántico, Magdalena, Huila y Tolima (10 de 11 </w:t>
            </w:r>
            <w:proofErr w:type="spellStart"/>
            <w:r>
              <w:rPr>
                <w:color w:val="000000"/>
                <w:sz w:val="20"/>
                <w:szCs w:val="20"/>
              </w:rPr>
              <w:t>PIDERET</w:t>
            </w:r>
            <w:proofErr w:type="spellEnd"/>
            <w:r>
              <w:rPr>
                <w:color w:val="000000"/>
                <w:sz w:val="20"/>
                <w:szCs w:val="20"/>
              </w:rPr>
              <w:t xml:space="preserve">). Adicionalmente, se realizó la capacitación en el sistema </w:t>
            </w:r>
            <w:proofErr w:type="spellStart"/>
            <w:r>
              <w:rPr>
                <w:color w:val="000000"/>
                <w:sz w:val="20"/>
                <w:szCs w:val="20"/>
              </w:rPr>
              <w:t>SIAPSTER</w:t>
            </w:r>
            <w:proofErr w:type="spellEnd"/>
            <w:r>
              <w:rPr>
                <w:color w:val="000000"/>
                <w:sz w:val="20"/>
                <w:szCs w:val="20"/>
              </w:rPr>
              <w:t xml:space="preserve"> dispuesta para la estructuración de los </w:t>
            </w:r>
            <w:proofErr w:type="spellStart"/>
            <w:r>
              <w:rPr>
                <w:color w:val="000000"/>
                <w:sz w:val="20"/>
                <w:szCs w:val="20"/>
              </w:rPr>
              <w:t>PIDARET</w:t>
            </w:r>
            <w:proofErr w:type="spellEnd"/>
            <w:r>
              <w:rPr>
                <w:color w:val="000000"/>
                <w:sz w:val="20"/>
                <w:szCs w:val="20"/>
              </w:rPr>
              <w:t xml:space="preserve"> de los departamentos a cargo de cada </w:t>
            </w:r>
            <w:proofErr w:type="spellStart"/>
            <w:r>
              <w:rPr>
                <w:color w:val="000000"/>
                <w:sz w:val="20"/>
                <w:szCs w:val="20"/>
              </w:rPr>
              <w:t>UTT</w:t>
            </w:r>
            <w:proofErr w:type="spellEnd"/>
            <w:r>
              <w:rPr>
                <w:color w:val="000000"/>
                <w:sz w:val="20"/>
                <w:szCs w:val="20"/>
              </w:rPr>
              <w:t xml:space="preserve">. Por otro lado, se logra gestionar ante las Asambleas de los departamentos de Boyacá y Huila las ordenanzas de adopción del </w:t>
            </w:r>
            <w:proofErr w:type="spellStart"/>
            <w:r>
              <w:rPr>
                <w:color w:val="000000"/>
                <w:sz w:val="20"/>
                <w:szCs w:val="20"/>
              </w:rPr>
              <w:t>PIDARET</w:t>
            </w:r>
            <w:proofErr w:type="spellEnd"/>
            <w:r>
              <w:rPr>
                <w:color w:val="000000"/>
                <w:sz w:val="20"/>
                <w:szCs w:val="20"/>
              </w:rPr>
              <w:t xml:space="preserve"> en sus respectivos departamentos. En relación al Plan de Buenaventura, este ya se encuentra como documento impreso y está en trámite el proceso de entrega oficial. </w:t>
            </w:r>
          </w:p>
        </w:tc>
      </w:tr>
      <w:tr w:rsidR="008D1C0D" w:rsidRPr="008F04F6" w:rsidTr="00B90824">
        <w:trPr>
          <w:trHeight w:val="12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Estructuración de planes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planes departamentales de desarrollo agropecuario y rural elaborados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Se adelantó la adición de recursos al convenio 517 firmado entre la FAO y la ADR, el pasado 24 de Diciembre de 2019 con el objetivo de formular los </w:t>
            </w:r>
            <w:proofErr w:type="spellStart"/>
            <w:r>
              <w:rPr>
                <w:color w:val="000000"/>
                <w:sz w:val="20"/>
                <w:szCs w:val="20"/>
              </w:rPr>
              <w:t>PIDARET</w:t>
            </w:r>
            <w:proofErr w:type="spellEnd"/>
            <w:r>
              <w:rPr>
                <w:color w:val="000000"/>
                <w:sz w:val="20"/>
                <w:szCs w:val="20"/>
              </w:rPr>
              <w:t xml:space="preserve"> de los Departamentos de La Guajira, Choco, Valle del Cauca, Cauca y Putumayo.</w:t>
            </w:r>
          </w:p>
        </w:tc>
      </w:tr>
      <w:tr w:rsidR="008D1C0D" w:rsidRPr="008F04F6" w:rsidTr="00B90824">
        <w:trPr>
          <w:trHeight w:val="900"/>
        </w:trPr>
        <w:tc>
          <w:tcPr>
            <w:tcW w:w="1630" w:type="dxa"/>
            <w:tcBorders>
              <w:top w:val="nil"/>
              <w:left w:val="single" w:sz="4" w:space="0" w:color="auto"/>
              <w:bottom w:val="single" w:sz="4" w:space="0" w:color="auto"/>
              <w:right w:val="single" w:sz="4" w:space="0" w:color="auto"/>
            </w:tcBorders>
            <w:vAlign w:val="center"/>
          </w:tcPr>
          <w:p w:rsidR="008D1C0D" w:rsidRDefault="008D1C0D">
            <w:pPr>
              <w:jc w:val="both"/>
              <w:rPr>
                <w:rFonts w:ascii="Calibri" w:hAnsi="Calibri"/>
                <w:color w:val="000000"/>
                <w:sz w:val="22"/>
                <w:szCs w:val="22"/>
              </w:rPr>
            </w:pPr>
            <w:r>
              <w:rPr>
                <w:rFonts w:ascii="Calibri" w:hAnsi="Calibri"/>
                <w:color w:val="000000"/>
                <w:sz w:val="22"/>
                <w:szCs w:val="22"/>
              </w:rPr>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proyectos estructurados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Se logró la estructuración de 60 proyectos que fueron enviados a evaluación y calificación. A la fecha de los proyectos que se vienen acompañando en su estructuración 371 iniciativas se encuentran en las diferentes etapas de estructuración</w:t>
            </w:r>
          </w:p>
        </w:tc>
      </w:tr>
      <w:tr w:rsidR="008D1C0D" w:rsidRPr="008F04F6" w:rsidTr="00C668B8">
        <w:trPr>
          <w:trHeight w:val="498"/>
        </w:trPr>
        <w:tc>
          <w:tcPr>
            <w:tcW w:w="1630" w:type="dxa"/>
            <w:tcBorders>
              <w:top w:val="nil"/>
              <w:left w:val="single" w:sz="4" w:space="0" w:color="auto"/>
              <w:bottom w:val="single" w:sz="4" w:space="0" w:color="auto"/>
              <w:right w:val="single" w:sz="4" w:space="0" w:color="auto"/>
            </w:tcBorders>
            <w:vAlign w:val="center"/>
          </w:tcPr>
          <w:p w:rsidR="008D1C0D" w:rsidRDefault="008D675C">
            <w:pPr>
              <w:jc w:val="both"/>
              <w:rPr>
                <w:rFonts w:ascii="Calibri" w:hAnsi="Calibri"/>
                <w:color w:val="000000"/>
                <w:sz w:val="22"/>
                <w:szCs w:val="22"/>
              </w:rPr>
            </w:pPr>
            <w:r>
              <w:rPr>
                <w:rFonts w:ascii="Calibri" w:hAnsi="Calibri"/>
                <w:color w:val="000000"/>
                <w:sz w:val="22"/>
                <w:szCs w:val="22"/>
              </w:rPr>
              <w:t>Evaluación</w:t>
            </w:r>
            <w:r w:rsidR="008D1C0D">
              <w:rPr>
                <w:rFonts w:ascii="Calibri" w:hAnsi="Calibri"/>
                <w:color w:val="000000"/>
                <w:sz w:val="22"/>
                <w:szCs w:val="22"/>
              </w:rPr>
              <w:t xml:space="preserve">, calificación y cofinanciación de proyectos </w:t>
            </w:r>
            <w:r w:rsidR="008D1C0D">
              <w:rPr>
                <w:rFonts w:ascii="Calibri" w:hAnsi="Calibri"/>
                <w:color w:val="000000"/>
                <w:sz w:val="22"/>
                <w:szCs w:val="22"/>
              </w:rPr>
              <w:lastRenderedPageBreak/>
              <w:t>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lastRenderedPageBreak/>
              <w:t xml:space="preserve">Número de Proyectos Integrales de Desarrollo Agropecuario y </w:t>
            </w:r>
            <w:r>
              <w:rPr>
                <w:color w:val="000000"/>
                <w:sz w:val="20"/>
                <w:szCs w:val="20"/>
              </w:rPr>
              <w:lastRenderedPageBreak/>
              <w:t>Rural Cofinanciados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5831A0">
            <w:pPr>
              <w:jc w:val="center"/>
              <w:rPr>
                <w:color w:val="000000"/>
                <w:sz w:val="20"/>
                <w:szCs w:val="20"/>
              </w:rPr>
            </w:pPr>
            <w:r>
              <w:rPr>
                <w:color w:val="000000"/>
                <w:sz w:val="20"/>
                <w:szCs w:val="20"/>
              </w:rPr>
              <w:lastRenderedPageBreak/>
              <w:t>20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205 %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rsidP="005B02A2">
            <w:pPr>
              <w:jc w:val="both"/>
              <w:rPr>
                <w:color w:val="000000"/>
                <w:sz w:val="20"/>
                <w:szCs w:val="20"/>
              </w:rPr>
            </w:pPr>
            <w:r>
              <w:rPr>
                <w:color w:val="000000"/>
                <w:sz w:val="20"/>
                <w:szCs w:val="20"/>
              </w:rPr>
              <w:t>Se logró la cofinanciación de 41 proyectos durante la vigencia 2019</w:t>
            </w:r>
            <w:r w:rsidR="00C668B8">
              <w:rPr>
                <w:color w:val="000000"/>
                <w:sz w:val="20"/>
                <w:szCs w:val="20"/>
              </w:rPr>
              <w:t xml:space="preserve">, superando en 21 los proyectos </w:t>
            </w:r>
            <w:r w:rsidR="005B02A2">
              <w:rPr>
                <w:color w:val="000000"/>
                <w:sz w:val="20"/>
                <w:szCs w:val="20"/>
              </w:rPr>
              <w:t xml:space="preserve">programados.  En el documento adjunto Matriz </w:t>
            </w:r>
            <w:proofErr w:type="spellStart"/>
            <w:r w:rsidR="005B02A2">
              <w:rPr>
                <w:color w:val="000000"/>
                <w:sz w:val="20"/>
                <w:szCs w:val="20"/>
              </w:rPr>
              <w:t>PIDAR</w:t>
            </w:r>
            <w:proofErr w:type="spellEnd"/>
            <w:r w:rsidR="005B02A2">
              <w:rPr>
                <w:color w:val="000000"/>
                <w:sz w:val="20"/>
                <w:szCs w:val="20"/>
              </w:rPr>
              <w:t xml:space="preserve"> Cofinanciados </w:t>
            </w:r>
            <w:r w:rsidR="005B02A2">
              <w:rPr>
                <w:color w:val="000000"/>
                <w:sz w:val="20"/>
                <w:szCs w:val="20"/>
              </w:rPr>
              <w:lastRenderedPageBreak/>
              <w:t xml:space="preserve">se relaciona la información correspondiente a la vigencia de los recursos asignados a cada uno de ellos, la localización y el monto cofinanciado. </w:t>
            </w:r>
          </w:p>
        </w:tc>
      </w:tr>
      <w:tr w:rsidR="008D1C0D" w:rsidRPr="008F04F6" w:rsidTr="00B90824">
        <w:trPr>
          <w:trHeight w:val="900"/>
        </w:trPr>
        <w:tc>
          <w:tcPr>
            <w:tcW w:w="1630" w:type="dxa"/>
            <w:tcBorders>
              <w:top w:val="nil"/>
              <w:left w:val="single" w:sz="4" w:space="0" w:color="auto"/>
              <w:bottom w:val="single" w:sz="4" w:space="0" w:color="auto"/>
              <w:right w:val="single" w:sz="4" w:space="0" w:color="auto"/>
            </w:tcBorders>
            <w:vAlign w:val="center"/>
          </w:tcPr>
          <w:p w:rsidR="008D1C0D" w:rsidRDefault="008D675C">
            <w:pPr>
              <w:jc w:val="both"/>
              <w:rPr>
                <w:rFonts w:ascii="Calibri" w:hAnsi="Calibri"/>
                <w:color w:val="000000"/>
                <w:sz w:val="22"/>
                <w:szCs w:val="22"/>
              </w:rPr>
            </w:pPr>
            <w:r>
              <w:rPr>
                <w:rFonts w:ascii="Calibri" w:hAnsi="Calibri"/>
                <w:color w:val="000000"/>
                <w:sz w:val="22"/>
                <w:szCs w:val="22"/>
              </w:rPr>
              <w:lastRenderedPageBreak/>
              <w:t>Evaluación</w:t>
            </w:r>
            <w:r w:rsidR="008D1C0D">
              <w:rPr>
                <w:rFonts w:ascii="Calibri" w:hAnsi="Calibri"/>
                <w:color w:val="000000"/>
                <w:sz w:val="22"/>
                <w:szCs w:val="22"/>
              </w:rPr>
              <w:t>, calificación y cofinanciación de proyectos 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Número de Proyectos Integrales de Desarrollo Agropecuario y Rural Evaluados</w:t>
            </w:r>
          </w:p>
        </w:tc>
        <w:tc>
          <w:tcPr>
            <w:tcW w:w="676" w:type="dxa"/>
            <w:tcBorders>
              <w:top w:val="nil"/>
              <w:left w:val="nil"/>
              <w:bottom w:val="single" w:sz="4" w:space="0" w:color="auto"/>
              <w:right w:val="single" w:sz="4" w:space="0" w:color="auto"/>
            </w:tcBorders>
            <w:shd w:val="clear" w:color="000000" w:fill="FFFFFF"/>
            <w:vAlign w:val="center"/>
            <w:hideMark/>
          </w:tcPr>
          <w:p w:rsidR="008D1C0D" w:rsidRDefault="008D1C0D">
            <w:pPr>
              <w:jc w:val="center"/>
              <w:rPr>
                <w:color w:val="000000"/>
                <w:sz w:val="20"/>
                <w:szCs w:val="20"/>
              </w:rPr>
            </w:pPr>
            <w:r>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8D1C0D" w:rsidRDefault="008D1C0D">
            <w:pPr>
              <w:jc w:val="center"/>
              <w:rPr>
                <w:color w:val="000000"/>
                <w:sz w:val="20"/>
                <w:szCs w:val="20"/>
              </w:rPr>
            </w:pPr>
            <w:r>
              <w:rPr>
                <w:color w:val="000000"/>
                <w:sz w:val="20"/>
                <w:szCs w:val="20"/>
              </w:rPr>
              <w:t>  72 %</w:t>
            </w:r>
          </w:p>
        </w:tc>
        <w:tc>
          <w:tcPr>
            <w:tcW w:w="3576" w:type="dxa"/>
            <w:gridSpan w:val="2"/>
            <w:tcBorders>
              <w:top w:val="nil"/>
              <w:left w:val="nil"/>
              <w:bottom w:val="single" w:sz="4" w:space="0" w:color="auto"/>
              <w:right w:val="single" w:sz="4" w:space="0" w:color="auto"/>
            </w:tcBorders>
            <w:shd w:val="clear" w:color="auto" w:fill="auto"/>
            <w:vAlign w:val="center"/>
            <w:hideMark/>
          </w:tcPr>
          <w:p w:rsidR="008D1C0D" w:rsidRDefault="008D1C0D">
            <w:pPr>
              <w:jc w:val="both"/>
              <w:rPr>
                <w:color w:val="000000"/>
                <w:sz w:val="20"/>
                <w:szCs w:val="20"/>
              </w:rPr>
            </w:pPr>
            <w:r>
              <w:rPr>
                <w:color w:val="000000"/>
                <w:sz w:val="20"/>
                <w:szCs w:val="20"/>
              </w:rPr>
              <w:t xml:space="preserve">Para el mes de diciembre se tiene acumulado la realización de 50 evaluaciones para </w:t>
            </w:r>
            <w:proofErr w:type="spellStart"/>
            <w:r>
              <w:rPr>
                <w:color w:val="000000"/>
                <w:sz w:val="20"/>
                <w:szCs w:val="20"/>
              </w:rPr>
              <w:t>lña</w:t>
            </w:r>
            <w:proofErr w:type="spellEnd"/>
            <w:r>
              <w:rPr>
                <w:color w:val="000000"/>
                <w:sz w:val="20"/>
                <w:szCs w:val="20"/>
              </w:rPr>
              <w:t xml:space="preserve"> vigencia 2019.</w:t>
            </w:r>
          </w:p>
        </w:tc>
      </w:tr>
      <w:tr w:rsidR="008D675C" w:rsidRPr="008F04F6" w:rsidTr="00B90824">
        <w:trPr>
          <w:trHeight w:val="21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Seguimiento y control de los proyectos 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Número de proyectos integrales de desarrollo agropecuario y rural monitoreados</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227</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92.07 %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Durante el mes de Diciembre, se sigue realizando el seguimiento por los canales dispuestos a los proyectos presentan avances en su ejecución e implementación y se tiene previsto la planeación de visitas en los próximos meses y el seguimiento respectivo. Para la vigencia 2019 se logró realizar  monitoreo  a 209  Proyectos Integrales de Desarrollo Agropecuario y Rural que se encuentran en implementación.  Durante la presente vigencia 2019, se han aprobado 12 nuevos proyectos, sin embargo, no se han recibido las evidencias de socialización respectivas, a fin de iniciar la primera visita de verificación.</w:t>
            </w:r>
          </w:p>
        </w:tc>
      </w:tr>
      <w:tr w:rsidR="008D675C" w:rsidRPr="008F04F6" w:rsidTr="00B90824">
        <w:trPr>
          <w:trHeight w:val="9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Organizaciones de productores formales atendidas</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31.58 %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Se identificaron y seleccionaron 272 organizaciones a intervenir en la vigencia 2019 por cada una de las 13 Unidades Técnicas Territoriales. A diciembre de 2019, se han caracterizado 30 organizaciones de productores.</w:t>
            </w:r>
          </w:p>
        </w:tc>
      </w:tr>
      <w:tr w:rsidR="008D675C" w:rsidRPr="008F04F6" w:rsidTr="00FF0AB3">
        <w:trPr>
          <w:trHeight w:val="37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 xml:space="preserve">Estructuración y formulación de proyectos integrales de desarrollo agropecuario y </w:t>
            </w:r>
            <w:r>
              <w:rPr>
                <w:rFonts w:ascii="Calibri" w:hAnsi="Calibri"/>
                <w:color w:val="000000"/>
                <w:sz w:val="22"/>
                <w:szCs w:val="22"/>
              </w:rPr>
              <w:lastRenderedPageBreak/>
              <w:t>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lastRenderedPageBreak/>
              <w:t xml:space="preserve">Porcentaje de Proyectos </w:t>
            </w:r>
            <w:proofErr w:type="spellStart"/>
            <w:r>
              <w:rPr>
                <w:color w:val="000000"/>
                <w:sz w:val="20"/>
                <w:szCs w:val="20"/>
              </w:rPr>
              <w:t>ZIDRES</w:t>
            </w:r>
            <w:proofErr w:type="spellEnd"/>
            <w:r>
              <w:rPr>
                <w:color w:val="000000"/>
                <w:sz w:val="20"/>
                <w:szCs w:val="20"/>
              </w:rPr>
              <w:t xml:space="preserve"> acompañados en la etapa de estructuración.</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Se realiza socialización por parte de la </w:t>
            </w:r>
            <w:proofErr w:type="spellStart"/>
            <w:r>
              <w:rPr>
                <w:color w:val="000000"/>
                <w:sz w:val="20"/>
                <w:szCs w:val="20"/>
              </w:rPr>
              <w:t>UPRA</w:t>
            </w:r>
            <w:proofErr w:type="spellEnd"/>
            <w:r>
              <w:rPr>
                <w:color w:val="000000"/>
                <w:sz w:val="20"/>
                <w:szCs w:val="20"/>
              </w:rPr>
              <w:t xml:space="preserve">, acerca de los lineamientos, criterios e instrumentos </w:t>
            </w:r>
            <w:proofErr w:type="spellStart"/>
            <w:r>
              <w:rPr>
                <w:color w:val="000000"/>
                <w:sz w:val="20"/>
                <w:szCs w:val="20"/>
              </w:rPr>
              <w:t>ZIDRES</w:t>
            </w:r>
            <w:proofErr w:type="spellEnd"/>
            <w:r>
              <w:rPr>
                <w:color w:val="000000"/>
                <w:sz w:val="20"/>
                <w:szCs w:val="20"/>
              </w:rPr>
              <w:t xml:space="preserve">, ante la ADR. En la actualidad el proceso se encuentra a la espera de lineamientos por parte del </w:t>
            </w:r>
            <w:proofErr w:type="spellStart"/>
            <w:r>
              <w:rPr>
                <w:color w:val="000000"/>
                <w:sz w:val="20"/>
                <w:szCs w:val="20"/>
              </w:rPr>
              <w:t>MADR</w:t>
            </w:r>
            <w:proofErr w:type="spellEnd"/>
            <w:r>
              <w:rPr>
                <w:color w:val="000000"/>
                <w:sz w:val="20"/>
                <w:szCs w:val="20"/>
              </w:rPr>
              <w:t xml:space="preserve"> ya que este revisando los lineamientos construidos </w:t>
            </w:r>
            <w:r>
              <w:rPr>
                <w:color w:val="000000"/>
                <w:sz w:val="20"/>
                <w:szCs w:val="20"/>
              </w:rPr>
              <w:lastRenderedPageBreak/>
              <w:t xml:space="preserve">por la </w:t>
            </w:r>
            <w:proofErr w:type="spellStart"/>
            <w:r>
              <w:rPr>
                <w:color w:val="000000"/>
                <w:sz w:val="20"/>
                <w:szCs w:val="20"/>
              </w:rPr>
              <w:t>UPRA</w:t>
            </w:r>
            <w:proofErr w:type="spellEnd"/>
            <w:r>
              <w:rPr>
                <w:color w:val="000000"/>
                <w:sz w:val="20"/>
                <w:szCs w:val="20"/>
              </w:rPr>
              <w:t>.</w:t>
            </w:r>
          </w:p>
        </w:tc>
      </w:tr>
      <w:tr w:rsidR="008D675C" w:rsidRPr="008F04F6" w:rsidTr="00B90824">
        <w:trPr>
          <w:trHeight w:val="12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lastRenderedPageBreak/>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Porcentaje de Organizaciones participando de asesorías comerciales especializadas</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 El proyecto de inversión “Implementación de un modelo de atención y prestación de servicios de apoyo a la comercialización, nivel nacional” que respalda el presente plan de acción no cuenta con recursos para la presente vigencia. Por lo tanto, durante el periodo no se registraron avances cuantitativos en este indicador.</w:t>
            </w:r>
          </w:p>
        </w:tc>
      </w:tr>
      <w:tr w:rsidR="008D675C" w:rsidRPr="008F04F6" w:rsidTr="00B90824">
        <w:trPr>
          <w:trHeight w:val="24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Porcentaje de perfiles de proyectos evaluados</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Se ha realizado la revisión de 441 Perfiles de proyecto, las cuales han cumplido la respectiva verificación documental por parte de la ADR tanto de las </w:t>
            </w:r>
            <w:proofErr w:type="spellStart"/>
            <w:r>
              <w:rPr>
                <w:color w:val="000000"/>
                <w:sz w:val="20"/>
                <w:szCs w:val="20"/>
              </w:rPr>
              <w:t>UTT</w:t>
            </w:r>
            <w:proofErr w:type="spellEnd"/>
            <w:r>
              <w:rPr>
                <w:color w:val="000000"/>
                <w:sz w:val="20"/>
                <w:szCs w:val="20"/>
              </w:rPr>
              <w:t xml:space="preserve"> como desde nivel central.  Se debe tener en cuenta que estos perfiles o iniciativas de proyectos son susceptibles de estructuración, más la cofinanciación dependerá del resultado de la evaluación y calificación.</w:t>
            </w:r>
          </w:p>
        </w:tc>
      </w:tr>
      <w:tr w:rsidR="008D675C" w:rsidRPr="008F04F6" w:rsidTr="00B90824">
        <w:trPr>
          <w:trHeight w:val="18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Porcentaje de proyectos con estado de implementación superior al 80%.</w:t>
            </w:r>
          </w:p>
        </w:tc>
        <w:tc>
          <w:tcPr>
            <w:tcW w:w="676" w:type="dxa"/>
            <w:tcBorders>
              <w:top w:val="nil"/>
              <w:left w:val="nil"/>
              <w:bottom w:val="single" w:sz="4" w:space="0" w:color="auto"/>
              <w:right w:val="single" w:sz="4" w:space="0" w:color="auto"/>
            </w:tcBorders>
            <w:shd w:val="clear" w:color="auto" w:fill="auto"/>
            <w:vAlign w:val="center"/>
            <w:hideMark/>
          </w:tcPr>
          <w:p w:rsidR="008D675C" w:rsidRDefault="008D675C">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55 %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En el mes de Diciembre se logró cerrar 4 </w:t>
            </w:r>
            <w:proofErr w:type="spellStart"/>
            <w:r>
              <w:rPr>
                <w:color w:val="000000"/>
                <w:sz w:val="20"/>
                <w:szCs w:val="20"/>
              </w:rPr>
              <w:t>PIDAR</w:t>
            </w:r>
            <w:proofErr w:type="spellEnd"/>
            <w:r>
              <w:rPr>
                <w:color w:val="000000"/>
                <w:sz w:val="20"/>
                <w:szCs w:val="20"/>
              </w:rPr>
              <w:t xml:space="preserve"> para un total de 29 en lo que se lleva del año. Teniendo en cuenta lo anterior, se cuenta con un total de 104 proyectos con un avance igual o superior al 80%, logrando el 55% de la meta establecida para el año 2019.  </w:t>
            </w:r>
          </w:p>
        </w:tc>
      </w:tr>
      <w:tr w:rsidR="008D675C" w:rsidRPr="008F04F6" w:rsidTr="00B90824">
        <w:trPr>
          <w:trHeight w:val="9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proofErr w:type="spellStart"/>
            <w:r>
              <w:rPr>
                <w:rFonts w:ascii="Calibri" w:hAnsi="Calibri"/>
                <w:color w:val="000000"/>
                <w:sz w:val="22"/>
                <w:szCs w:val="22"/>
              </w:rPr>
              <w:t>Evaluacion</w:t>
            </w:r>
            <w:proofErr w:type="spellEnd"/>
            <w:r>
              <w:rPr>
                <w:rFonts w:ascii="Calibri" w:hAnsi="Calibri"/>
                <w:color w:val="000000"/>
                <w:sz w:val="22"/>
                <w:szCs w:val="22"/>
              </w:rPr>
              <w:t>, calificación y cofinanciación de proyectos integrales</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Porcentaje de Proyectos Integrales de Desarrollo Agropecuario y Rural Calificados</w:t>
            </w:r>
          </w:p>
        </w:tc>
        <w:tc>
          <w:tcPr>
            <w:tcW w:w="676" w:type="dxa"/>
            <w:tcBorders>
              <w:top w:val="nil"/>
              <w:left w:val="nil"/>
              <w:bottom w:val="single" w:sz="4" w:space="0" w:color="auto"/>
              <w:right w:val="single" w:sz="4" w:space="0" w:color="auto"/>
            </w:tcBorders>
            <w:shd w:val="clear" w:color="auto" w:fill="auto"/>
            <w:vAlign w:val="center"/>
            <w:hideMark/>
          </w:tcPr>
          <w:p w:rsidR="008D675C" w:rsidRDefault="008D675C">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Se han calificado un total de 41 proyectos, correspondiente al 100% de los recibidos para calificación.</w:t>
            </w:r>
          </w:p>
        </w:tc>
      </w:tr>
      <w:tr w:rsidR="008D675C" w:rsidRPr="008F04F6" w:rsidTr="00B90824">
        <w:trPr>
          <w:trHeight w:val="1800"/>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lastRenderedPageBreak/>
              <w:t>Estructuración y formulación de proyectos integrales de desarrollo agropecuario y rural</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Porcentaje de proyectos superiores al 20% en su estado de implementación.</w:t>
            </w:r>
          </w:p>
        </w:tc>
        <w:tc>
          <w:tcPr>
            <w:tcW w:w="676" w:type="dxa"/>
            <w:tcBorders>
              <w:top w:val="nil"/>
              <w:left w:val="nil"/>
              <w:bottom w:val="single" w:sz="4" w:space="0" w:color="auto"/>
              <w:right w:val="single" w:sz="4" w:space="0" w:color="auto"/>
            </w:tcBorders>
            <w:shd w:val="clear" w:color="auto" w:fill="auto"/>
            <w:vAlign w:val="center"/>
            <w:hideMark/>
          </w:tcPr>
          <w:p w:rsidR="008D675C" w:rsidRDefault="008D675C">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2.7 %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De los 230 </w:t>
            </w:r>
            <w:proofErr w:type="spellStart"/>
            <w:r>
              <w:rPr>
                <w:color w:val="000000"/>
                <w:sz w:val="20"/>
                <w:szCs w:val="20"/>
              </w:rPr>
              <w:t>PIDAR</w:t>
            </w:r>
            <w:proofErr w:type="spellEnd"/>
            <w:r>
              <w:rPr>
                <w:color w:val="000000"/>
                <w:sz w:val="20"/>
                <w:szCs w:val="20"/>
              </w:rPr>
              <w:t xml:space="preserve"> cofinanciados, se reportan 181 </w:t>
            </w:r>
            <w:proofErr w:type="spellStart"/>
            <w:r>
              <w:rPr>
                <w:color w:val="000000"/>
                <w:sz w:val="20"/>
                <w:szCs w:val="20"/>
              </w:rPr>
              <w:t>PIDAR</w:t>
            </w:r>
            <w:proofErr w:type="spellEnd"/>
            <w:r>
              <w:rPr>
                <w:color w:val="000000"/>
                <w:sz w:val="20"/>
                <w:szCs w:val="20"/>
              </w:rPr>
              <w:t xml:space="preserve"> con un avance superior al 20%, consistentes en acciones de fortalecimiento socio-organizacional, acciones administrativas asociadas a la ejecución de los recursos. Durante la vigencia 2019 se han cofinanciado 41 </w:t>
            </w:r>
            <w:proofErr w:type="spellStart"/>
            <w:r>
              <w:rPr>
                <w:color w:val="000000"/>
                <w:sz w:val="20"/>
                <w:szCs w:val="20"/>
              </w:rPr>
              <w:t>PIDAR</w:t>
            </w:r>
            <w:proofErr w:type="spellEnd"/>
            <w:r>
              <w:rPr>
                <w:color w:val="000000"/>
                <w:sz w:val="20"/>
                <w:szCs w:val="20"/>
              </w:rPr>
              <w:t xml:space="preserve">, de los cuales 12 corresponden a recursos de vigencias anteriores, y 1 cuenta con un avance superior al 20%, 9 </w:t>
            </w:r>
            <w:proofErr w:type="spellStart"/>
            <w:r>
              <w:rPr>
                <w:color w:val="000000"/>
                <w:sz w:val="20"/>
                <w:szCs w:val="20"/>
              </w:rPr>
              <w:t>estan</w:t>
            </w:r>
            <w:proofErr w:type="spellEnd"/>
            <w:r>
              <w:rPr>
                <w:color w:val="000000"/>
                <w:sz w:val="20"/>
                <w:szCs w:val="20"/>
              </w:rPr>
              <w:t xml:space="preserve"> con un avance del 10% y 2 están con un avance inferior al 10%. Los restantes 29 </w:t>
            </w:r>
            <w:proofErr w:type="spellStart"/>
            <w:r>
              <w:rPr>
                <w:color w:val="000000"/>
                <w:sz w:val="20"/>
                <w:szCs w:val="20"/>
              </w:rPr>
              <w:t>PIDAR</w:t>
            </w:r>
            <w:proofErr w:type="spellEnd"/>
            <w:r>
              <w:rPr>
                <w:color w:val="000000"/>
                <w:sz w:val="20"/>
                <w:szCs w:val="20"/>
              </w:rPr>
              <w:t xml:space="preserve"> corresponden a recursos de la vigencia 2019. Cabe aclarar, que de igual forma se viene adelantando el proceso de ejecución de proyectos cuyo nivel de avance es menor al 20% -49 proyectos, de los cuales 18 proyectos cuentan con un porcentaje superior al 10%. Este avance corresponde a los recursos de </w:t>
            </w:r>
            <w:proofErr w:type="gramStart"/>
            <w:r>
              <w:rPr>
                <w:color w:val="000000"/>
                <w:sz w:val="20"/>
                <w:szCs w:val="20"/>
              </w:rPr>
              <w:t>las vigencia</w:t>
            </w:r>
            <w:proofErr w:type="gramEnd"/>
            <w:r>
              <w:rPr>
                <w:color w:val="000000"/>
                <w:sz w:val="20"/>
                <w:szCs w:val="20"/>
              </w:rPr>
              <w:t xml:space="preserve"> 2016-2019.</w:t>
            </w:r>
          </w:p>
        </w:tc>
      </w:tr>
      <w:tr w:rsidR="00247E59" w:rsidRPr="008F04F6" w:rsidTr="008D1C0D">
        <w:trPr>
          <w:trHeight w:val="1200"/>
        </w:trPr>
        <w:tc>
          <w:tcPr>
            <w:tcW w:w="1630" w:type="dxa"/>
            <w:tcBorders>
              <w:top w:val="nil"/>
              <w:left w:val="single" w:sz="4" w:space="0" w:color="auto"/>
              <w:bottom w:val="single" w:sz="4" w:space="0" w:color="auto"/>
              <w:right w:val="single" w:sz="4" w:space="0" w:color="auto"/>
            </w:tcBorders>
          </w:tcPr>
          <w:p w:rsidR="008D675C" w:rsidRDefault="008D675C" w:rsidP="008D675C">
            <w:pPr>
              <w:jc w:val="both"/>
              <w:rPr>
                <w:rFonts w:ascii="Calibri" w:hAnsi="Calibri"/>
                <w:color w:val="000000"/>
                <w:sz w:val="22"/>
                <w:szCs w:val="22"/>
              </w:rPr>
            </w:pPr>
            <w:r>
              <w:rPr>
                <w:rFonts w:ascii="Calibri" w:hAnsi="Calibri"/>
                <w:color w:val="000000"/>
                <w:sz w:val="22"/>
                <w:szCs w:val="22"/>
              </w:rPr>
              <w:t xml:space="preserve">Promoción y apoyo a la </w:t>
            </w:r>
            <w:proofErr w:type="spellStart"/>
            <w:r>
              <w:rPr>
                <w:rFonts w:ascii="Calibri" w:hAnsi="Calibri"/>
                <w:color w:val="000000"/>
                <w:sz w:val="22"/>
                <w:szCs w:val="22"/>
              </w:rPr>
              <w:t>asociatividad</w:t>
            </w:r>
            <w:proofErr w:type="spellEnd"/>
          </w:p>
          <w:p w:rsidR="00247E59" w:rsidRDefault="00247E59">
            <w:pPr>
              <w:jc w:val="both"/>
              <w:rPr>
                <w:color w:val="000000"/>
                <w:sz w:val="20"/>
                <w:szCs w:val="20"/>
              </w:rPr>
            </w:pP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247E59" w:rsidRDefault="00247E59">
            <w:pPr>
              <w:jc w:val="both"/>
              <w:rPr>
                <w:color w:val="000000"/>
                <w:sz w:val="20"/>
                <w:szCs w:val="20"/>
              </w:rPr>
            </w:pPr>
            <w:r>
              <w:rPr>
                <w:color w:val="000000"/>
                <w:sz w:val="20"/>
                <w:szCs w:val="20"/>
              </w:rPr>
              <w:t>Porcentaje de solicitudes de empresas comunitarias atendidas</w:t>
            </w:r>
          </w:p>
        </w:tc>
        <w:tc>
          <w:tcPr>
            <w:tcW w:w="676" w:type="dxa"/>
            <w:tcBorders>
              <w:top w:val="nil"/>
              <w:left w:val="nil"/>
              <w:bottom w:val="single" w:sz="4" w:space="0" w:color="auto"/>
              <w:right w:val="single" w:sz="4" w:space="0" w:color="auto"/>
            </w:tcBorders>
            <w:shd w:val="clear" w:color="000000" w:fill="FFFFFF"/>
            <w:vAlign w:val="center"/>
            <w:hideMark/>
          </w:tcPr>
          <w:p w:rsidR="00247E59" w:rsidRDefault="00247E59">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47E59" w:rsidRDefault="00247E59">
            <w:pPr>
              <w:jc w:val="center"/>
              <w:rPr>
                <w:color w:val="000000"/>
                <w:sz w:val="20"/>
                <w:szCs w:val="20"/>
              </w:rPr>
            </w:pPr>
            <w:r>
              <w:rPr>
                <w:color w:val="000000"/>
                <w:sz w:val="20"/>
                <w:szCs w:val="20"/>
              </w:rPr>
              <w:t>  100 %</w:t>
            </w:r>
          </w:p>
        </w:tc>
        <w:tc>
          <w:tcPr>
            <w:tcW w:w="3576" w:type="dxa"/>
            <w:gridSpan w:val="2"/>
            <w:tcBorders>
              <w:top w:val="nil"/>
              <w:left w:val="nil"/>
              <w:bottom w:val="single" w:sz="4" w:space="0" w:color="auto"/>
              <w:right w:val="single" w:sz="4" w:space="0" w:color="auto"/>
            </w:tcBorders>
            <w:shd w:val="clear" w:color="auto" w:fill="auto"/>
            <w:vAlign w:val="center"/>
            <w:hideMark/>
          </w:tcPr>
          <w:p w:rsidR="00247E59" w:rsidRDefault="00247E59">
            <w:pPr>
              <w:jc w:val="both"/>
              <w:rPr>
                <w:color w:val="000000"/>
                <w:sz w:val="20"/>
                <w:szCs w:val="20"/>
              </w:rPr>
            </w:pPr>
            <w:r>
              <w:rPr>
                <w:color w:val="000000"/>
                <w:sz w:val="20"/>
                <w:szCs w:val="20"/>
              </w:rPr>
              <w:t xml:space="preserve"> Acumuladas hasta el 30 diciembre van 111 solicitudes de Empresas Comunitarias, de las cuales 111 tienen la respuesta correspondiente.</w:t>
            </w:r>
          </w:p>
        </w:tc>
      </w:tr>
      <w:tr w:rsidR="008D675C" w:rsidRPr="008F04F6" w:rsidTr="002379F2">
        <w:trPr>
          <w:trHeight w:val="937"/>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t xml:space="preserve">Promoción y apoyo a la </w:t>
            </w:r>
            <w:proofErr w:type="spellStart"/>
            <w:r>
              <w:rPr>
                <w:rFonts w:ascii="Calibri" w:hAnsi="Calibri"/>
                <w:color w:val="000000"/>
                <w:sz w:val="22"/>
                <w:szCs w:val="22"/>
              </w:rPr>
              <w:t>asociatividad</w:t>
            </w:r>
            <w:proofErr w:type="spellEnd"/>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Productores agropecuarios apoyados en el marco de la política de la Agricultura Campesina, Familiar y Comunitaria (</w:t>
            </w:r>
            <w:proofErr w:type="spellStart"/>
            <w:r>
              <w:rPr>
                <w:color w:val="000000"/>
                <w:sz w:val="20"/>
                <w:szCs w:val="20"/>
              </w:rPr>
              <w:t>ACFC</w:t>
            </w:r>
            <w:proofErr w:type="spellEnd"/>
            <w:r>
              <w:rPr>
                <w:color w:val="000000"/>
                <w:sz w:val="20"/>
                <w:szCs w:val="20"/>
              </w:rPr>
              <w:t>)</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208 %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 xml:space="preserve">Se han apoyado 104 productores </w:t>
            </w:r>
            <w:proofErr w:type="spellStart"/>
            <w:r>
              <w:rPr>
                <w:color w:val="000000"/>
                <w:sz w:val="20"/>
                <w:szCs w:val="20"/>
              </w:rPr>
              <w:t>ACFC</w:t>
            </w:r>
            <w:proofErr w:type="spellEnd"/>
            <w:r>
              <w:rPr>
                <w:color w:val="000000"/>
                <w:sz w:val="20"/>
                <w:szCs w:val="20"/>
              </w:rPr>
              <w:t xml:space="preserve"> a través de los 7 talleres "Cultivemos Participación Rural" en articulación con las </w:t>
            </w:r>
            <w:proofErr w:type="spellStart"/>
            <w:r>
              <w:rPr>
                <w:color w:val="000000"/>
                <w:sz w:val="20"/>
                <w:szCs w:val="20"/>
              </w:rPr>
              <w:t>UTTs</w:t>
            </w:r>
            <w:proofErr w:type="spellEnd"/>
            <w:r>
              <w:rPr>
                <w:color w:val="000000"/>
                <w:sz w:val="20"/>
                <w:szCs w:val="20"/>
              </w:rPr>
              <w:t xml:space="preserve"> # 13, 2, 9, 11, 7, 10 y 8. Los encuentros estuvieron destinados a promover y facilitar la participación de las organizaciones sociales, comunitarias y productivas rurales - </w:t>
            </w:r>
            <w:proofErr w:type="spellStart"/>
            <w:r>
              <w:rPr>
                <w:color w:val="000000"/>
                <w:sz w:val="20"/>
                <w:szCs w:val="20"/>
              </w:rPr>
              <w:t>OSCPR</w:t>
            </w:r>
            <w:proofErr w:type="spellEnd"/>
            <w:r>
              <w:rPr>
                <w:color w:val="000000"/>
                <w:sz w:val="20"/>
                <w:szCs w:val="20"/>
              </w:rPr>
              <w:t xml:space="preserve">, en instancias de participación, Consejos Municipales de Desarrollo Rural - </w:t>
            </w:r>
            <w:proofErr w:type="spellStart"/>
            <w:r>
              <w:rPr>
                <w:color w:val="000000"/>
                <w:sz w:val="20"/>
                <w:szCs w:val="20"/>
              </w:rPr>
              <w:t>CMDR</w:t>
            </w:r>
            <w:proofErr w:type="spellEnd"/>
            <w:r>
              <w:rPr>
                <w:color w:val="000000"/>
                <w:sz w:val="20"/>
                <w:szCs w:val="20"/>
              </w:rPr>
              <w:t xml:space="preserve"> y los Consejos Seccionales de Desarrollo Agropecuario – </w:t>
            </w:r>
            <w:proofErr w:type="spellStart"/>
            <w:r>
              <w:rPr>
                <w:color w:val="000000"/>
                <w:sz w:val="20"/>
                <w:szCs w:val="20"/>
              </w:rPr>
              <w:t>CONSEA</w:t>
            </w:r>
            <w:proofErr w:type="spellEnd"/>
            <w:r>
              <w:rPr>
                <w:color w:val="000000"/>
                <w:sz w:val="20"/>
                <w:szCs w:val="20"/>
              </w:rPr>
              <w:t xml:space="preserve">. El contenido de los talleres de </w:t>
            </w:r>
            <w:r>
              <w:rPr>
                <w:color w:val="000000"/>
                <w:sz w:val="20"/>
                <w:szCs w:val="20"/>
              </w:rPr>
              <w:lastRenderedPageBreak/>
              <w:t xml:space="preserve">participación está dirigido a los productores rurales en el marco de la estrategia de </w:t>
            </w:r>
            <w:proofErr w:type="spellStart"/>
            <w:r>
              <w:rPr>
                <w:color w:val="000000"/>
                <w:sz w:val="20"/>
                <w:szCs w:val="20"/>
              </w:rPr>
              <w:t>ACFC</w:t>
            </w:r>
            <w:proofErr w:type="spellEnd"/>
            <w:r>
              <w:rPr>
                <w:color w:val="000000"/>
                <w:sz w:val="20"/>
                <w:szCs w:val="20"/>
              </w:rPr>
              <w:t>.</w:t>
            </w:r>
          </w:p>
        </w:tc>
      </w:tr>
      <w:tr w:rsidR="008D675C" w:rsidRPr="008F04F6" w:rsidTr="0023030A">
        <w:trPr>
          <w:trHeight w:val="937"/>
        </w:trPr>
        <w:tc>
          <w:tcPr>
            <w:tcW w:w="1630" w:type="dxa"/>
            <w:tcBorders>
              <w:top w:val="nil"/>
              <w:left w:val="single" w:sz="4" w:space="0" w:color="auto"/>
              <w:bottom w:val="single" w:sz="4" w:space="0" w:color="auto"/>
              <w:right w:val="single" w:sz="4" w:space="0" w:color="auto"/>
            </w:tcBorders>
            <w:vAlign w:val="center"/>
          </w:tcPr>
          <w:p w:rsidR="008D675C" w:rsidRDefault="008D675C">
            <w:pPr>
              <w:jc w:val="both"/>
              <w:rPr>
                <w:rFonts w:ascii="Calibri" w:hAnsi="Calibri"/>
                <w:color w:val="000000"/>
                <w:sz w:val="22"/>
                <w:szCs w:val="22"/>
              </w:rPr>
            </w:pPr>
            <w:r>
              <w:rPr>
                <w:rFonts w:ascii="Calibri" w:hAnsi="Calibri"/>
                <w:color w:val="000000"/>
                <w:sz w:val="22"/>
                <w:szCs w:val="22"/>
              </w:rPr>
              <w:lastRenderedPageBreak/>
              <w:t>Fortalecimiento competitivo para la comercialización de productos de origen agropecuario</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Productores con transferencia de conocimiento en el uso de información comercial atendidos</w:t>
            </w:r>
          </w:p>
        </w:tc>
        <w:tc>
          <w:tcPr>
            <w:tcW w:w="676" w:type="dxa"/>
            <w:tcBorders>
              <w:top w:val="nil"/>
              <w:left w:val="nil"/>
              <w:bottom w:val="single" w:sz="4" w:space="0" w:color="auto"/>
              <w:right w:val="single" w:sz="4" w:space="0" w:color="auto"/>
            </w:tcBorders>
            <w:shd w:val="clear" w:color="000000" w:fill="FFFFFF"/>
            <w:vAlign w:val="center"/>
            <w:hideMark/>
          </w:tcPr>
          <w:p w:rsidR="008D675C" w:rsidRDefault="008D675C">
            <w:pPr>
              <w:jc w:val="center"/>
              <w:rPr>
                <w:color w:val="000000"/>
                <w:sz w:val="20"/>
                <w:szCs w:val="20"/>
              </w:rPr>
            </w:pPr>
            <w:r>
              <w:rPr>
                <w:color w:val="000000"/>
                <w:sz w:val="20"/>
                <w:szCs w:val="20"/>
              </w:rPr>
              <w:t>358</w:t>
            </w:r>
          </w:p>
        </w:tc>
        <w:tc>
          <w:tcPr>
            <w:tcW w:w="1276" w:type="dxa"/>
            <w:tcBorders>
              <w:top w:val="nil"/>
              <w:left w:val="nil"/>
              <w:bottom w:val="single" w:sz="4" w:space="0" w:color="auto"/>
              <w:right w:val="single" w:sz="4" w:space="0" w:color="auto"/>
            </w:tcBorders>
            <w:shd w:val="clear" w:color="auto" w:fill="auto"/>
            <w:noWrap/>
            <w:vAlign w:val="center"/>
            <w:hideMark/>
          </w:tcPr>
          <w:p w:rsidR="008D675C" w:rsidRDefault="008D675C">
            <w:pPr>
              <w:jc w:val="center"/>
              <w:rPr>
                <w:color w:val="000000"/>
                <w:sz w:val="20"/>
                <w:szCs w:val="20"/>
              </w:rPr>
            </w:pPr>
            <w:r>
              <w:rPr>
                <w:color w:val="000000"/>
                <w:sz w:val="20"/>
                <w:szCs w:val="20"/>
              </w:rPr>
              <w:t>  8.1 %</w:t>
            </w:r>
          </w:p>
        </w:tc>
        <w:tc>
          <w:tcPr>
            <w:tcW w:w="3576" w:type="dxa"/>
            <w:gridSpan w:val="2"/>
            <w:tcBorders>
              <w:top w:val="nil"/>
              <w:left w:val="nil"/>
              <w:bottom w:val="single" w:sz="4" w:space="0" w:color="auto"/>
              <w:right w:val="single" w:sz="4" w:space="0" w:color="auto"/>
            </w:tcBorders>
            <w:shd w:val="clear" w:color="auto" w:fill="auto"/>
            <w:vAlign w:val="center"/>
            <w:hideMark/>
          </w:tcPr>
          <w:p w:rsidR="008D675C" w:rsidRDefault="008D675C">
            <w:pPr>
              <w:jc w:val="both"/>
              <w:rPr>
                <w:color w:val="000000"/>
                <w:sz w:val="20"/>
                <w:szCs w:val="20"/>
              </w:rPr>
            </w:pPr>
            <w:r>
              <w:rPr>
                <w:color w:val="000000"/>
                <w:sz w:val="20"/>
                <w:szCs w:val="20"/>
              </w:rPr>
              <w:t>El 5 de diciembre se llevó a cabo en la ciudad de Neiva, una capacitación a 29 productores de 6 asociaciones transfiriendo así los conocimientos necesarios para usar las herramientas digitales en sus procesos de comercialización de las organizaciones que representaban.</w:t>
            </w:r>
          </w:p>
        </w:tc>
      </w:tr>
    </w:tbl>
    <w:p w:rsidR="00F17E35" w:rsidRDefault="00F17E35" w:rsidP="00F17E35">
      <w:r w:rsidRPr="00315029">
        <w:rPr>
          <w:sz w:val="16"/>
        </w:rPr>
        <w:t xml:space="preserve">Fuente: </w:t>
      </w:r>
      <w:r>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3</w:t>
      </w:r>
      <w:r w:rsidR="002B39D3">
        <w:rPr>
          <w:sz w:val="16"/>
        </w:rPr>
        <w:t>0</w:t>
      </w:r>
      <w:r w:rsidRPr="00315029">
        <w:rPr>
          <w:sz w:val="16"/>
        </w:rPr>
        <w:t xml:space="preserve"> de </w:t>
      </w:r>
      <w:r w:rsidR="002B39D3">
        <w:rPr>
          <w:sz w:val="16"/>
        </w:rPr>
        <w:t>noviembre</w:t>
      </w:r>
    </w:p>
    <w:p w:rsidR="00F17E35" w:rsidRDefault="00F17E35" w:rsidP="00F17E35"/>
    <w:p w:rsidR="00F17E35" w:rsidRDefault="00F17E35" w:rsidP="00F17E35">
      <w:pPr>
        <w:jc w:val="both"/>
      </w:pPr>
      <w:r>
        <w:t xml:space="preserve">En promedio los 27 indicadores del objetivo estratégico 1, alcanzaron un avance del </w:t>
      </w:r>
      <w:r w:rsidR="00FD2D4E">
        <w:rPr>
          <w:b/>
        </w:rPr>
        <w:t>86</w:t>
      </w:r>
      <w:r w:rsidRPr="00B102D1">
        <w:rPr>
          <w:b/>
        </w:rPr>
        <w:t>%</w:t>
      </w:r>
      <w:r>
        <w:t xml:space="preserve"> de cumplimiento. Asimismo se observa que hay indicadores que no han reportado avance, esto es debido a que corresponden a actividades </w:t>
      </w:r>
      <w:r w:rsidR="00EB346A">
        <w:t xml:space="preserve">que se encuentran asociadas al </w:t>
      </w:r>
      <w:r>
        <w:t xml:space="preserve">proyecto de inversión </w:t>
      </w:r>
      <w:r w:rsidR="00EB346A">
        <w:t xml:space="preserve">de comercialización, que no conto con </w:t>
      </w:r>
      <w:r>
        <w:t>asignación de presupuesto</w:t>
      </w:r>
      <w:r w:rsidR="00EB346A">
        <w:t xml:space="preserve"> durante la vigencia.</w:t>
      </w:r>
      <w:r w:rsidR="00FD2D4E">
        <w:t xml:space="preserve">  Tampoco se realizó el acompañamiento a la estructuración de los </w:t>
      </w:r>
      <w:r w:rsidR="00FD2D4E" w:rsidRPr="00FD2D4E">
        <w:t xml:space="preserve">Proyectos </w:t>
      </w:r>
      <w:proofErr w:type="spellStart"/>
      <w:r w:rsidR="00FD2D4E" w:rsidRPr="00FD2D4E">
        <w:t>ZIDRES</w:t>
      </w:r>
      <w:proofErr w:type="spellEnd"/>
      <w:r w:rsidR="00FD2D4E" w:rsidRPr="00FD2D4E">
        <w:t xml:space="preserve"> </w:t>
      </w:r>
      <w:r w:rsidR="00FD2D4E">
        <w:t>debido a que aún no se cuentan con los lineamientos para la convocatoria de este tipo de proyectos.</w:t>
      </w:r>
    </w:p>
    <w:p w:rsidR="009C575D" w:rsidRDefault="009C575D" w:rsidP="00F17E35">
      <w:pPr>
        <w:jc w:val="both"/>
      </w:pPr>
    </w:p>
    <w:p w:rsidR="00F17E35" w:rsidRDefault="00985D80" w:rsidP="00985D80">
      <w:pPr>
        <w:pStyle w:val="Epgrafe"/>
      </w:pPr>
      <w:r>
        <w:t xml:space="preserve">Tabla N° </w:t>
      </w:r>
      <w:fldSimple w:instr=" SEQ Tabla_N° \* ARABIC ">
        <w:r w:rsidR="00874AC6">
          <w:rPr>
            <w:noProof/>
          </w:rPr>
          <w:t>3</w:t>
        </w:r>
      </w:fldSimple>
      <w:r>
        <w:t xml:space="preserve">: </w:t>
      </w:r>
      <w:r w:rsidR="00F17E35">
        <w:t>Avances indicadores Objetivo Estratégico 2</w:t>
      </w:r>
    </w:p>
    <w:tbl>
      <w:tblPr>
        <w:tblW w:w="9001" w:type="dxa"/>
        <w:tblLayout w:type="fixed"/>
        <w:tblCellMar>
          <w:left w:w="70" w:type="dxa"/>
          <w:right w:w="70" w:type="dxa"/>
        </w:tblCellMar>
        <w:tblLook w:val="04A0" w:firstRow="1" w:lastRow="0" w:firstColumn="1" w:lastColumn="0" w:noHBand="0" w:noVBand="1"/>
      </w:tblPr>
      <w:tblGrid>
        <w:gridCol w:w="1630"/>
        <w:gridCol w:w="1842"/>
        <w:gridCol w:w="851"/>
        <w:gridCol w:w="1134"/>
        <w:gridCol w:w="1984"/>
        <w:gridCol w:w="1560"/>
      </w:tblGrid>
      <w:tr w:rsidR="008D675C" w:rsidRPr="000D7B81" w:rsidTr="00412626">
        <w:trPr>
          <w:trHeight w:val="817"/>
          <w:tblHeader/>
        </w:trPr>
        <w:tc>
          <w:tcPr>
            <w:tcW w:w="7441"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D675C" w:rsidRPr="000A573A" w:rsidRDefault="008D675C" w:rsidP="00F17E35">
            <w:pPr>
              <w:jc w:val="both"/>
              <w:rPr>
                <w:b/>
                <w:bCs/>
                <w:color w:val="000000" w:themeColor="text1"/>
                <w:sz w:val="20"/>
                <w:szCs w:val="20"/>
                <w:lang w:val="es-CO" w:eastAsia="es-CO"/>
              </w:rPr>
            </w:pPr>
            <w:r w:rsidRPr="000A573A">
              <w:rPr>
                <w:b/>
                <w:bCs/>
                <w:color w:val="000000" w:themeColor="text1"/>
                <w:sz w:val="20"/>
                <w:szCs w:val="20"/>
                <w:lang w:val="es-CO" w:eastAsia="es-CO"/>
              </w:rPr>
              <w:t>2. Fortalecer la productividad y competitividad de las cadenas de valor y sistemas productivos del sector agropecuario a través del acompañamiento técnico, la coordinación interinstitucional y la implementación del Subsistema Nacional de Extensión Agropecuaria.</w:t>
            </w:r>
          </w:p>
        </w:tc>
        <w:tc>
          <w:tcPr>
            <w:tcW w:w="156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8D675C" w:rsidRPr="000A573A" w:rsidRDefault="00D16406" w:rsidP="00F17E35">
            <w:pPr>
              <w:jc w:val="center"/>
              <w:rPr>
                <w:b/>
                <w:bCs/>
                <w:color w:val="000000" w:themeColor="text1"/>
                <w:sz w:val="20"/>
                <w:szCs w:val="20"/>
                <w:lang w:val="es-CO" w:eastAsia="es-CO"/>
              </w:rPr>
            </w:pPr>
            <w:r>
              <w:rPr>
                <w:b/>
                <w:bCs/>
                <w:color w:val="000000" w:themeColor="text1"/>
                <w:sz w:val="28"/>
                <w:szCs w:val="20"/>
                <w:lang w:val="es-CO" w:eastAsia="es-CO"/>
              </w:rPr>
              <w:t>91</w:t>
            </w:r>
            <w:r w:rsidR="008D675C" w:rsidRPr="000A573A">
              <w:rPr>
                <w:b/>
                <w:bCs/>
                <w:color w:val="000000" w:themeColor="text1"/>
                <w:sz w:val="28"/>
                <w:szCs w:val="20"/>
                <w:lang w:val="es-CO" w:eastAsia="es-CO"/>
              </w:rPr>
              <w:t>%</w:t>
            </w:r>
          </w:p>
        </w:tc>
      </w:tr>
      <w:tr w:rsidR="008D675C" w:rsidRPr="000D7B81" w:rsidTr="00B90824">
        <w:trPr>
          <w:trHeight w:val="600"/>
          <w:tblHeader/>
        </w:trPr>
        <w:tc>
          <w:tcPr>
            <w:tcW w:w="1630" w:type="dxa"/>
            <w:tcBorders>
              <w:top w:val="nil"/>
              <w:left w:val="single" w:sz="4" w:space="0" w:color="auto"/>
              <w:bottom w:val="single" w:sz="4" w:space="0" w:color="auto"/>
              <w:right w:val="single" w:sz="4" w:space="0" w:color="auto"/>
            </w:tcBorders>
            <w:shd w:val="clear" w:color="auto" w:fill="A8D08D" w:themeFill="accent6" w:themeFillTint="99"/>
          </w:tcPr>
          <w:p w:rsidR="008D675C" w:rsidRPr="000A573A" w:rsidRDefault="00412626" w:rsidP="00F17E35">
            <w:pPr>
              <w:jc w:val="center"/>
              <w:rPr>
                <w:b/>
                <w:bCs/>
                <w:color w:val="000000" w:themeColor="text1"/>
                <w:sz w:val="20"/>
                <w:szCs w:val="20"/>
                <w:lang w:val="es-CO" w:eastAsia="es-CO"/>
              </w:rPr>
            </w:pPr>
            <w:r>
              <w:rPr>
                <w:b/>
                <w:bCs/>
                <w:color w:val="000000" w:themeColor="text1"/>
                <w:sz w:val="20"/>
                <w:szCs w:val="20"/>
                <w:lang w:val="es-CO" w:eastAsia="es-CO"/>
              </w:rPr>
              <w:t>Proceso</w:t>
            </w:r>
          </w:p>
        </w:tc>
        <w:tc>
          <w:tcPr>
            <w:tcW w:w="1842"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8D675C" w:rsidRPr="000A573A" w:rsidRDefault="008D675C" w:rsidP="00F17E35">
            <w:pPr>
              <w:jc w:val="center"/>
              <w:rPr>
                <w:b/>
                <w:bCs/>
                <w:color w:val="000000" w:themeColor="text1"/>
                <w:sz w:val="20"/>
                <w:szCs w:val="20"/>
                <w:lang w:val="es-CO" w:eastAsia="es-CO"/>
              </w:rPr>
            </w:pPr>
            <w:r w:rsidRPr="000A573A">
              <w:rPr>
                <w:b/>
                <w:bCs/>
                <w:color w:val="000000" w:themeColor="text1"/>
                <w:sz w:val="20"/>
                <w:szCs w:val="20"/>
                <w:lang w:val="es-CO" w:eastAsia="es-CO"/>
              </w:rPr>
              <w:t>Indicador</w:t>
            </w:r>
          </w:p>
        </w:tc>
        <w:tc>
          <w:tcPr>
            <w:tcW w:w="851" w:type="dxa"/>
            <w:tcBorders>
              <w:top w:val="nil"/>
              <w:left w:val="nil"/>
              <w:bottom w:val="single" w:sz="4" w:space="0" w:color="auto"/>
              <w:right w:val="single" w:sz="4" w:space="0" w:color="auto"/>
            </w:tcBorders>
            <w:shd w:val="clear" w:color="auto" w:fill="A8D08D" w:themeFill="accent6" w:themeFillTint="99"/>
            <w:vAlign w:val="center"/>
            <w:hideMark/>
          </w:tcPr>
          <w:p w:rsidR="008D675C" w:rsidRPr="000A573A" w:rsidRDefault="008D675C" w:rsidP="00F17E35">
            <w:pPr>
              <w:jc w:val="center"/>
              <w:rPr>
                <w:b/>
                <w:bCs/>
                <w:color w:val="000000" w:themeColor="text1"/>
                <w:sz w:val="20"/>
                <w:szCs w:val="20"/>
                <w:lang w:val="es-CO" w:eastAsia="es-CO"/>
              </w:rPr>
            </w:pPr>
            <w:r w:rsidRPr="000A573A">
              <w:rPr>
                <w:b/>
                <w:bCs/>
                <w:color w:val="000000" w:themeColor="text1"/>
                <w:sz w:val="20"/>
                <w:szCs w:val="20"/>
                <w:lang w:val="es-CO" w:eastAsia="es-CO"/>
              </w:rPr>
              <w:t>Meta</w:t>
            </w:r>
          </w:p>
        </w:tc>
        <w:tc>
          <w:tcPr>
            <w:tcW w:w="1134" w:type="dxa"/>
            <w:tcBorders>
              <w:top w:val="nil"/>
              <w:left w:val="nil"/>
              <w:bottom w:val="single" w:sz="4" w:space="0" w:color="auto"/>
              <w:right w:val="single" w:sz="4" w:space="0" w:color="auto"/>
            </w:tcBorders>
            <w:shd w:val="clear" w:color="auto" w:fill="A8D08D" w:themeFill="accent6" w:themeFillTint="99"/>
            <w:vAlign w:val="center"/>
            <w:hideMark/>
          </w:tcPr>
          <w:p w:rsidR="008D675C" w:rsidRPr="000A573A" w:rsidRDefault="008D675C" w:rsidP="00F17E35">
            <w:pPr>
              <w:jc w:val="center"/>
              <w:rPr>
                <w:b/>
                <w:bCs/>
                <w:color w:val="000000" w:themeColor="text1"/>
                <w:sz w:val="20"/>
                <w:szCs w:val="20"/>
                <w:lang w:val="es-CO" w:eastAsia="es-CO"/>
              </w:rPr>
            </w:pPr>
            <w:r w:rsidRPr="000A573A">
              <w:rPr>
                <w:b/>
                <w:bCs/>
                <w:color w:val="000000" w:themeColor="text1"/>
                <w:sz w:val="20"/>
                <w:szCs w:val="20"/>
                <w:lang w:val="es-CO" w:eastAsia="es-CO"/>
              </w:rPr>
              <w:t>% Avance cuantitativo</w:t>
            </w:r>
          </w:p>
        </w:tc>
        <w:tc>
          <w:tcPr>
            <w:tcW w:w="3544" w:type="dxa"/>
            <w:gridSpan w:val="2"/>
            <w:tcBorders>
              <w:top w:val="nil"/>
              <w:left w:val="nil"/>
              <w:bottom w:val="single" w:sz="4" w:space="0" w:color="auto"/>
              <w:right w:val="single" w:sz="4" w:space="0" w:color="auto"/>
            </w:tcBorders>
            <w:shd w:val="clear" w:color="auto" w:fill="A8D08D" w:themeFill="accent6" w:themeFillTint="99"/>
            <w:vAlign w:val="center"/>
            <w:hideMark/>
          </w:tcPr>
          <w:p w:rsidR="008D675C" w:rsidRPr="000A573A" w:rsidRDefault="008D675C" w:rsidP="00F17E35">
            <w:pPr>
              <w:jc w:val="center"/>
              <w:rPr>
                <w:b/>
                <w:bCs/>
                <w:color w:val="000000" w:themeColor="text1"/>
                <w:sz w:val="20"/>
                <w:szCs w:val="20"/>
                <w:lang w:val="es-CO" w:eastAsia="es-CO"/>
              </w:rPr>
            </w:pPr>
            <w:r w:rsidRPr="000A573A">
              <w:rPr>
                <w:b/>
                <w:bCs/>
                <w:color w:val="000000" w:themeColor="text1"/>
                <w:sz w:val="20"/>
                <w:szCs w:val="20"/>
                <w:lang w:val="es-CO" w:eastAsia="es-CO"/>
              </w:rPr>
              <w:t>Avance Cualitativo</w:t>
            </w:r>
          </w:p>
        </w:tc>
      </w:tr>
      <w:tr w:rsidR="008D675C" w:rsidRPr="000D7B81" w:rsidTr="00B90824">
        <w:trPr>
          <w:trHeight w:val="515"/>
        </w:trPr>
        <w:tc>
          <w:tcPr>
            <w:tcW w:w="1630" w:type="dxa"/>
            <w:tcBorders>
              <w:top w:val="nil"/>
              <w:left w:val="single" w:sz="4" w:space="0" w:color="auto"/>
              <w:bottom w:val="single" w:sz="4" w:space="0" w:color="auto"/>
              <w:right w:val="single" w:sz="4" w:space="0" w:color="auto"/>
            </w:tcBorders>
          </w:tcPr>
          <w:p w:rsidR="008D675C" w:rsidRPr="000D7B81" w:rsidRDefault="0023030A" w:rsidP="00E15080">
            <w:pPr>
              <w:rPr>
                <w:color w:val="000000"/>
                <w:sz w:val="20"/>
                <w:szCs w:val="20"/>
                <w:lang w:val="es-CO" w:eastAsia="es-CO"/>
              </w:rPr>
            </w:pPr>
            <w:r w:rsidRPr="0023030A">
              <w:rPr>
                <w:color w:val="000000"/>
                <w:sz w:val="20"/>
                <w:szCs w:val="20"/>
                <w:lang w:val="es-CO" w:eastAsia="es-CO"/>
              </w:rPr>
              <w:t>Fortalecimiento a la prestación del servicio público de Extensión Agropecuaria</w:t>
            </w:r>
          </w:p>
        </w:tc>
        <w:tc>
          <w:tcPr>
            <w:tcW w:w="1842" w:type="dxa"/>
            <w:tcBorders>
              <w:top w:val="nil"/>
              <w:left w:val="single" w:sz="4" w:space="0" w:color="auto"/>
              <w:bottom w:val="single" w:sz="4" w:space="0" w:color="auto"/>
              <w:right w:val="single" w:sz="4" w:space="0" w:color="auto"/>
            </w:tcBorders>
            <w:shd w:val="clear" w:color="auto" w:fill="auto"/>
            <w:hideMark/>
          </w:tcPr>
          <w:p w:rsidR="008D675C" w:rsidRPr="000D7B81" w:rsidRDefault="008D675C" w:rsidP="00E15080">
            <w:pPr>
              <w:rPr>
                <w:color w:val="000000"/>
                <w:sz w:val="20"/>
                <w:szCs w:val="20"/>
                <w:lang w:val="es-CO" w:eastAsia="es-CO"/>
              </w:rPr>
            </w:pPr>
            <w:r w:rsidRPr="000D7B81">
              <w:rPr>
                <w:color w:val="000000"/>
                <w:sz w:val="20"/>
                <w:szCs w:val="20"/>
                <w:lang w:val="es-CO" w:eastAsia="es-CO"/>
              </w:rPr>
              <w:t>Capacitaciones realizadas en Extensión Agropecuaria</w:t>
            </w:r>
          </w:p>
        </w:tc>
        <w:tc>
          <w:tcPr>
            <w:tcW w:w="851" w:type="dxa"/>
            <w:tcBorders>
              <w:top w:val="nil"/>
              <w:left w:val="nil"/>
              <w:bottom w:val="single" w:sz="4" w:space="0" w:color="auto"/>
              <w:right w:val="single" w:sz="4" w:space="0" w:color="auto"/>
            </w:tcBorders>
            <w:shd w:val="clear" w:color="auto" w:fill="auto"/>
            <w:noWrap/>
            <w:vAlign w:val="center"/>
            <w:hideMark/>
          </w:tcPr>
          <w:p w:rsidR="008D675C" w:rsidRPr="000D7B81" w:rsidRDefault="008D675C" w:rsidP="00F17E35">
            <w:pPr>
              <w:jc w:val="center"/>
              <w:rPr>
                <w:color w:val="000000"/>
                <w:sz w:val="20"/>
                <w:szCs w:val="20"/>
                <w:lang w:val="es-CO" w:eastAsia="es-CO"/>
              </w:rPr>
            </w:pPr>
            <w:r w:rsidRPr="000D7B81">
              <w:rPr>
                <w:color w:val="000000"/>
                <w:sz w:val="20"/>
                <w:szCs w:val="20"/>
                <w:lang w:val="es-CO" w:eastAsia="es-CO"/>
              </w:rPr>
              <w:t>64</w:t>
            </w:r>
          </w:p>
        </w:tc>
        <w:tc>
          <w:tcPr>
            <w:tcW w:w="1134" w:type="dxa"/>
            <w:tcBorders>
              <w:top w:val="nil"/>
              <w:left w:val="nil"/>
              <w:bottom w:val="single" w:sz="4" w:space="0" w:color="auto"/>
              <w:right w:val="single" w:sz="4" w:space="0" w:color="auto"/>
            </w:tcBorders>
            <w:shd w:val="clear" w:color="auto" w:fill="auto"/>
            <w:noWrap/>
            <w:vAlign w:val="center"/>
            <w:hideMark/>
          </w:tcPr>
          <w:p w:rsidR="008D675C" w:rsidRPr="000D7B81" w:rsidRDefault="008D675C" w:rsidP="00F17E35">
            <w:pPr>
              <w:jc w:val="center"/>
              <w:rPr>
                <w:color w:val="000000"/>
                <w:sz w:val="20"/>
                <w:szCs w:val="20"/>
                <w:lang w:val="es-CO" w:eastAsia="es-CO"/>
              </w:rPr>
            </w:pPr>
            <w:r>
              <w:rPr>
                <w:color w:val="000000"/>
                <w:sz w:val="20"/>
                <w:szCs w:val="20"/>
                <w:lang w:val="es-CO" w:eastAsia="es-CO"/>
              </w:rPr>
              <w:t>100%</w:t>
            </w:r>
          </w:p>
        </w:tc>
        <w:tc>
          <w:tcPr>
            <w:tcW w:w="3544" w:type="dxa"/>
            <w:gridSpan w:val="2"/>
            <w:tcBorders>
              <w:top w:val="nil"/>
              <w:left w:val="nil"/>
              <w:bottom w:val="single" w:sz="4" w:space="0" w:color="auto"/>
              <w:right w:val="single" w:sz="4" w:space="0" w:color="auto"/>
            </w:tcBorders>
            <w:shd w:val="clear" w:color="auto" w:fill="auto"/>
            <w:hideMark/>
          </w:tcPr>
          <w:p w:rsidR="008D675C" w:rsidRPr="000D7B81" w:rsidRDefault="00D16406" w:rsidP="00D16406">
            <w:pPr>
              <w:jc w:val="both"/>
              <w:rPr>
                <w:color w:val="000000"/>
                <w:sz w:val="20"/>
                <w:szCs w:val="20"/>
                <w:lang w:val="es-CO" w:eastAsia="es-CO"/>
              </w:rPr>
            </w:pPr>
            <w:r>
              <w:rPr>
                <w:color w:val="000000"/>
                <w:sz w:val="20"/>
                <w:szCs w:val="20"/>
                <w:lang w:val="es-CO" w:eastAsia="es-CO"/>
              </w:rPr>
              <w:t xml:space="preserve">Se realizó </w:t>
            </w:r>
            <w:r w:rsidRPr="00D16406">
              <w:rPr>
                <w:color w:val="000000"/>
                <w:sz w:val="20"/>
                <w:szCs w:val="20"/>
                <w:lang w:val="es-CO" w:eastAsia="es-CO"/>
              </w:rPr>
              <w:t>capacitación en extensión agropecuaria en los términos de la Ley 11876 del 29 de diciembre de 2017 con los 32 departamentos</w:t>
            </w:r>
            <w:r>
              <w:rPr>
                <w:color w:val="000000"/>
                <w:sz w:val="20"/>
                <w:szCs w:val="20"/>
                <w:lang w:val="es-CO" w:eastAsia="es-CO"/>
              </w:rPr>
              <w:t xml:space="preserve"> los días 11, 12 y 13 de junio y por medio del </w:t>
            </w:r>
            <w:r w:rsidRPr="00D16406">
              <w:rPr>
                <w:color w:val="000000"/>
                <w:sz w:val="20"/>
                <w:szCs w:val="20"/>
                <w:lang w:val="es-CO" w:eastAsia="es-CO"/>
              </w:rPr>
              <w:t xml:space="preserve">Convenio Interadministrativo No. 549 de 2019 con la Universidad Nacional Abierta y a Distancia - </w:t>
            </w:r>
            <w:proofErr w:type="spellStart"/>
            <w:r w:rsidRPr="00D16406">
              <w:rPr>
                <w:color w:val="000000"/>
                <w:sz w:val="20"/>
                <w:szCs w:val="20"/>
                <w:lang w:val="es-CO" w:eastAsia="es-CO"/>
              </w:rPr>
              <w:t>UNAD</w:t>
            </w:r>
            <w:proofErr w:type="spellEnd"/>
            <w:r w:rsidRPr="00D16406">
              <w:rPr>
                <w:color w:val="000000"/>
                <w:sz w:val="20"/>
                <w:szCs w:val="20"/>
                <w:lang w:val="es-CO" w:eastAsia="es-CO"/>
              </w:rPr>
              <w:t xml:space="preserve"> para el diplomado en "Extensión Agropecuaria" el cual </w:t>
            </w:r>
            <w:r>
              <w:rPr>
                <w:color w:val="000000"/>
                <w:sz w:val="20"/>
                <w:szCs w:val="20"/>
                <w:lang w:val="es-CO" w:eastAsia="es-CO"/>
              </w:rPr>
              <w:t>tuvo</w:t>
            </w:r>
            <w:r w:rsidRPr="00D16406">
              <w:rPr>
                <w:color w:val="000000"/>
                <w:sz w:val="20"/>
                <w:szCs w:val="20"/>
                <w:lang w:val="es-CO" w:eastAsia="es-CO"/>
              </w:rPr>
              <w:t xml:space="preserve"> cobertura en los treinta y dos (32) </w:t>
            </w:r>
            <w:r w:rsidRPr="00D16406">
              <w:rPr>
                <w:color w:val="000000"/>
                <w:sz w:val="20"/>
                <w:szCs w:val="20"/>
                <w:lang w:val="es-CO" w:eastAsia="es-CO"/>
              </w:rPr>
              <w:lastRenderedPageBreak/>
              <w:t>departamentos más el Distrito Capital</w:t>
            </w:r>
            <w:r>
              <w:rPr>
                <w:color w:val="000000"/>
                <w:sz w:val="20"/>
                <w:szCs w:val="20"/>
                <w:lang w:val="es-CO" w:eastAsia="es-CO"/>
              </w:rPr>
              <w:t xml:space="preserve"> el cual conto con 726 estudiantes, alcanzado así 64 acciones de capacitación, 2 en cada departamento durante la vigencia.</w:t>
            </w:r>
          </w:p>
        </w:tc>
      </w:tr>
      <w:tr w:rsidR="008D675C" w:rsidRPr="000D7B81" w:rsidTr="00B90824">
        <w:trPr>
          <w:trHeight w:val="971"/>
        </w:trPr>
        <w:tc>
          <w:tcPr>
            <w:tcW w:w="1630" w:type="dxa"/>
            <w:tcBorders>
              <w:top w:val="nil"/>
              <w:left w:val="single" w:sz="4" w:space="0" w:color="auto"/>
              <w:bottom w:val="single" w:sz="4" w:space="0" w:color="auto"/>
              <w:right w:val="single" w:sz="4" w:space="0" w:color="auto"/>
            </w:tcBorders>
          </w:tcPr>
          <w:p w:rsidR="008D675C" w:rsidRPr="000D7B81" w:rsidRDefault="0023030A" w:rsidP="00E15080">
            <w:pPr>
              <w:rPr>
                <w:color w:val="000000"/>
                <w:sz w:val="20"/>
                <w:szCs w:val="20"/>
                <w:lang w:val="es-CO" w:eastAsia="es-CO"/>
              </w:rPr>
            </w:pPr>
            <w:r w:rsidRPr="0023030A">
              <w:rPr>
                <w:color w:val="000000"/>
                <w:sz w:val="20"/>
                <w:szCs w:val="20"/>
                <w:lang w:val="es-CO" w:eastAsia="es-CO"/>
              </w:rPr>
              <w:lastRenderedPageBreak/>
              <w:t>Fortalecimiento a la prestación del servicio público de Extensión Agropecuaria</w:t>
            </w:r>
          </w:p>
        </w:tc>
        <w:tc>
          <w:tcPr>
            <w:tcW w:w="1842" w:type="dxa"/>
            <w:tcBorders>
              <w:top w:val="nil"/>
              <w:left w:val="single" w:sz="4" w:space="0" w:color="auto"/>
              <w:bottom w:val="single" w:sz="4" w:space="0" w:color="auto"/>
              <w:right w:val="single" w:sz="4" w:space="0" w:color="auto"/>
            </w:tcBorders>
            <w:shd w:val="clear" w:color="auto" w:fill="auto"/>
            <w:hideMark/>
          </w:tcPr>
          <w:p w:rsidR="008D675C" w:rsidRPr="000D7B81" w:rsidRDefault="008D675C" w:rsidP="00E15080">
            <w:pPr>
              <w:rPr>
                <w:color w:val="000000"/>
                <w:sz w:val="20"/>
                <w:szCs w:val="20"/>
                <w:lang w:val="es-CO" w:eastAsia="es-CO"/>
              </w:rPr>
            </w:pPr>
            <w:r w:rsidRPr="000D7B81">
              <w:rPr>
                <w:color w:val="000000"/>
                <w:sz w:val="20"/>
                <w:szCs w:val="20"/>
                <w:lang w:val="es-CO" w:eastAsia="es-CO"/>
              </w:rPr>
              <w:t>Entidades Prestadoras del servicio público de extensión Agropecuaria Habilitadas</w:t>
            </w:r>
          </w:p>
        </w:tc>
        <w:tc>
          <w:tcPr>
            <w:tcW w:w="851" w:type="dxa"/>
            <w:tcBorders>
              <w:top w:val="nil"/>
              <w:left w:val="nil"/>
              <w:bottom w:val="single" w:sz="4" w:space="0" w:color="auto"/>
              <w:right w:val="single" w:sz="4" w:space="0" w:color="auto"/>
            </w:tcBorders>
            <w:shd w:val="clear" w:color="auto" w:fill="auto"/>
            <w:noWrap/>
            <w:vAlign w:val="center"/>
            <w:hideMark/>
          </w:tcPr>
          <w:p w:rsidR="008D675C" w:rsidRPr="000D7B81" w:rsidRDefault="008D675C" w:rsidP="00F17E35">
            <w:pPr>
              <w:jc w:val="center"/>
              <w:rPr>
                <w:color w:val="000000"/>
                <w:sz w:val="20"/>
                <w:szCs w:val="20"/>
                <w:lang w:val="es-CO" w:eastAsia="es-CO"/>
              </w:rPr>
            </w:pPr>
            <w:r w:rsidRPr="000D7B81">
              <w:rPr>
                <w:color w:val="000000"/>
                <w:sz w:val="20"/>
                <w:szCs w:val="20"/>
                <w:lang w:val="es-CO" w:eastAsia="es-CO"/>
              </w:rPr>
              <w:t>50</w:t>
            </w:r>
          </w:p>
        </w:tc>
        <w:tc>
          <w:tcPr>
            <w:tcW w:w="1134" w:type="dxa"/>
            <w:tcBorders>
              <w:top w:val="nil"/>
              <w:left w:val="nil"/>
              <w:bottom w:val="single" w:sz="4" w:space="0" w:color="auto"/>
              <w:right w:val="single" w:sz="4" w:space="0" w:color="auto"/>
            </w:tcBorders>
            <w:shd w:val="clear" w:color="auto" w:fill="auto"/>
            <w:noWrap/>
            <w:vAlign w:val="center"/>
            <w:hideMark/>
          </w:tcPr>
          <w:p w:rsidR="008D675C" w:rsidRPr="000D7B81" w:rsidRDefault="00D16406" w:rsidP="00F17E35">
            <w:pPr>
              <w:jc w:val="center"/>
              <w:rPr>
                <w:color w:val="000000"/>
                <w:sz w:val="20"/>
                <w:szCs w:val="20"/>
                <w:lang w:val="es-CO" w:eastAsia="es-CO"/>
              </w:rPr>
            </w:pPr>
            <w:r>
              <w:rPr>
                <w:color w:val="000000"/>
                <w:sz w:val="20"/>
                <w:szCs w:val="20"/>
                <w:lang w:val="es-CO" w:eastAsia="es-CO"/>
              </w:rPr>
              <w:t>72%</w:t>
            </w:r>
          </w:p>
        </w:tc>
        <w:tc>
          <w:tcPr>
            <w:tcW w:w="3544" w:type="dxa"/>
            <w:gridSpan w:val="2"/>
            <w:tcBorders>
              <w:top w:val="nil"/>
              <w:left w:val="nil"/>
              <w:bottom w:val="single" w:sz="4" w:space="0" w:color="auto"/>
              <w:right w:val="single" w:sz="4" w:space="0" w:color="auto"/>
            </w:tcBorders>
            <w:shd w:val="clear" w:color="auto" w:fill="auto"/>
            <w:hideMark/>
          </w:tcPr>
          <w:p w:rsidR="008D675C" w:rsidRPr="000D7B81" w:rsidRDefault="000F618A" w:rsidP="000F618A">
            <w:pPr>
              <w:jc w:val="both"/>
              <w:rPr>
                <w:color w:val="000000"/>
                <w:sz w:val="20"/>
                <w:szCs w:val="20"/>
                <w:lang w:val="es-CO" w:eastAsia="es-CO"/>
              </w:rPr>
            </w:pPr>
            <w:r>
              <w:rPr>
                <w:color w:val="000000"/>
                <w:sz w:val="20"/>
                <w:szCs w:val="20"/>
                <w:lang w:val="es-CO" w:eastAsia="es-CO"/>
              </w:rPr>
              <w:t>Con corte a 31</w:t>
            </w:r>
            <w:r w:rsidR="008D675C" w:rsidRPr="008F04F6">
              <w:rPr>
                <w:color w:val="000000"/>
                <w:sz w:val="20"/>
                <w:szCs w:val="20"/>
                <w:lang w:val="es-CO" w:eastAsia="es-CO"/>
              </w:rPr>
              <w:t xml:space="preserve"> de </w:t>
            </w:r>
            <w:r>
              <w:rPr>
                <w:color w:val="000000"/>
                <w:sz w:val="20"/>
                <w:szCs w:val="20"/>
                <w:lang w:val="es-CO" w:eastAsia="es-CO"/>
              </w:rPr>
              <w:t xml:space="preserve">diciembre se habilitaron un total de 36 </w:t>
            </w:r>
            <w:r w:rsidR="008D675C" w:rsidRPr="008F04F6">
              <w:rPr>
                <w:color w:val="000000"/>
                <w:sz w:val="20"/>
                <w:szCs w:val="20"/>
                <w:lang w:val="es-CO" w:eastAsia="es-CO"/>
              </w:rPr>
              <w:t xml:space="preserve">EPSEAS A la fecha con un cumplimento del </w:t>
            </w:r>
            <w:r>
              <w:rPr>
                <w:color w:val="000000"/>
                <w:sz w:val="20"/>
                <w:szCs w:val="20"/>
                <w:lang w:val="es-CO" w:eastAsia="es-CO"/>
              </w:rPr>
              <w:t>72</w:t>
            </w:r>
            <w:r w:rsidR="008D675C" w:rsidRPr="008F04F6">
              <w:rPr>
                <w:color w:val="000000"/>
                <w:sz w:val="20"/>
                <w:szCs w:val="20"/>
                <w:lang w:val="es-CO" w:eastAsia="es-CO"/>
              </w:rPr>
              <w:t>% del indicador.</w:t>
            </w:r>
          </w:p>
        </w:tc>
      </w:tr>
      <w:tr w:rsidR="008D675C" w:rsidRPr="000D7B81" w:rsidTr="00B90824">
        <w:trPr>
          <w:trHeight w:val="134"/>
        </w:trPr>
        <w:tc>
          <w:tcPr>
            <w:tcW w:w="1630" w:type="dxa"/>
            <w:tcBorders>
              <w:top w:val="nil"/>
              <w:left w:val="single" w:sz="4" w:space="0" w:color="auto"/>
              <w:bottom w:val="single" w:sz="4" w:space="0" w:color="auto"/>
              <w:right w:val="single" w:sz="4" w:space="0" w:color="auto"/>
            </w:tcBorders>
          </w:tcPr>
          <w:p w:rsidR="008D675C" w:rsidRPr="00B90824" w:rsidRDefault="0023030A" w:rsidP="00E15080">
            <w:pPr>
              <w:rPr>
                <w:color w:val="000000"/>
                <w:sz w:val="20"/>
                <w:szCs w:val="20"/>
                <w:lang w:val="es-CO" w:eastAsia="es-CO"/>
              </w:rPr>
            </w:pPr>
            <w:r w:rsidRPr="00B90824">
              <w:rPr>
                <w:color w:val="000000"/>
                <w:sz w:val="20"/>
                <w:szCs w:val="20"/>
                <w:lang w:val="es-CO" w:eastAsia="es-CO"/>
              </w:rPr>
              <w:t>Fortalecimiento a la prestación del servicio público de Extensión Agropecuaria</w:t>
            </w:r>
          </w:p>
        </w:tc>
        <w:tc>
          <w:tcPr>
            <w:tcW w:w="1842" w:type="dxa"/>
            <w:tcBorders>
              <w:top w:val="nil"/>
              <w:left w:val="single" w:sz="4" w:space="0" w:color="auto"/>
              <w:bottom w:val="single" w:sz="4" w:space="0" w:color="auto"/>
              <w:right w:val="single" w:sz="4" w:space="0" w:color="auto"/>
            </w:tcBorders>
            <w:shd w:val="clear" w:color="auto" w:fill="auto"/>
            <w:hideMark/>
          </w:tcPr>
          <w:p w:rsidR="008D675C" w:rsidRPr="00B90824" w:rsidRDefault="008D675C" w:rsidP="00E15080">
            <w:pPr>
              <w:rPr>
                <w:color w:val="000000"/>
                <w:sz w:val="20"/>
                <w:szCs w:val="20"/>
                <w:lang w:val="es-CO" w:eastAsia="es-CO"/>
              </w:rPr>
            </w:pPr>
            <w:r w:rsidRPr="00B90824">
              <w:rPr>
                <w:color w:val="000000"/>
                <w:sz w:val="20"/>
                <w:szCs w:val="20"/>
                <w:lang w:val="es-CO" w:eastAsia="es-CO"/>
              </w:rPr>
              <w:t>Usuarios atendidos con servicio público de Extensión Agropecuaria</w:t>
            </w:r>
          </w:p>
        </w:tc>
        <w:tc>
          <w:tcPr>
            <w:tcW w:w="851" w:type="dxa"/>
            <w:tcBorders>
              <w:top w:val="nil"/>
              <w:left w:val="nil"/>
              <w:bottom w:val="single" w:sz="4" w:space="0" w:color="auto"/>
              <w:right w:val="single" w:sz="4" w:space="0" w:color="auto"/>
            </w:tcBorders>
            <w:shd w:val="clear" w:color="auto" w:fill="auto"/>
            <w:noWrap/>
            <w:vAlign w:val="center"/>
            <w:hideMark/>
          </w:tcPr>
          <w:p w:rsidR="008D675C" w:rsidRPr="00B90824" w:rsidRDefault="008D675C" w:rsidP="00F17E35">
            <w:pPr>
              <w:jc w:val="center"/>
              <w:rPr>
                <w:color w:val="000000"/>
                <w:sz w:val="20"/>
                <w:szCs w:val="20"/>
                <w:lang w:val="es-CO" w:eastAsia="es-CO"/>
              </w:rPr>
            </w:pPr>
            <w:r w:rsidRPr="00B90824">
              <w:rPr>
                <w:color w:val="000000"/>
                <w:sz w:val="20"/>
                <w:szCs w:val="20"/>
                <w:lang w:val="es-CO" w:eastAsia="es-CO"/>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8D675C" w:rsidRPr="00B90824" w:rsidRDefault="008D675C" w:rsidP="00F17E35">
            <w:pPr>
              <w:jc w:val="center"/>
              <w:rPr>
                <w:color w:val="000000"/>
                <w:sz w:val="20"/>
                <w:szCs w:val="20"/>
                <w:lang w:val="es-CO" w:eastAsia="es-CO"/>
              </w:rPr>
            </w:pPr>
            <w:r w:rsidRPr="00B90824">
              <w:rPr>
                <w:color w:val="000000"/>
                <w:sz w:val="20"/>
                <w:szCs w:val="20"/>
                <w:lang w:val="es-CO" w:eastAsia="es-CO"/>
              </w:rPr>
              <w:t>100%</w:t>
            </w:r>
          </w:p>
        </w:tc>
        <w:tc>
          <w:tcPr>
            <w:tcW w:w="3544" w:type="dxa"/>
            <w:gridSpan w:val="2"/>
            <w:tcBorders>
              <w:top w:val="nil"/>
              <w:left w:val="nil"/>
              <w:bottom w:val="single" w:sz="4" w:space="0" w:color="auto"/>
              <w:right w:val="single" w:sz="4" w:space="0" w:color="auto"/>
            </w:tcBorders>
            <w:shd w:val="clear" w:color="auto" w:fill="auto"/>
            <w:hideMark/>
          </w:tcPr>
          <w:p w:rsidR="008D675C" w:rsidRPr="00B90824" w:rsidRDefault="008D675C" w:rsidP="00B90824">
            <w:pPr>
              <w:jc w:val="both"/>
              <w:rPr>
                <w:color w:val="000000"/>
                <w:sz w:val="20"/>
                <w:szCs w:val="20"/>
                <w:lang w:val="es-CO" w:eastAsia="es-CO"/>
              </w:rPr>
            </w:pPr>
            <w:r w:rsidRPr="00B90824">
              <w:rPr>
                <w:color w:val="000000"/>
                <w:sz w:val="20"/>
                <w:szCs w:val="20"/>
                <w:lang w:val="es-CO" w:eastAsia="es-CO"/>
              </w:rPr>
              <w:t xml:space="preserve">Se implementa el servicio público de extensión agropecuaria en los departamentos de Bolívar, Nariño, Casanare, Magdalena y Guainía </w:t>
            </w:r>
            <w:r w:rsidR="00B90824">
              <w:rPr>
                <w:color w:val="000000"/>
                <w:sz w:val="20"/>
                <w:szCs w:val="20"/>
                <w:lang w:val="es-CO" w:eastAsia="es-CO"/>
              </w:rPr>
              <w:t>brindando atención (realización de diversas actividades) a</w:t>
            </w:r>
            <w:r w:rsidRPr="00B90824">
              <w:rPr>
                <w:color w:val="000000"/>
                <w:sz w:val="20"/>
                <w:szCs w:val="20"/>
                <w:lang w:val="es-CO" w:eastAsia="es-CO"/>
              </w:rPr>
              <w:t xml:space="preserve"> 20.000 usuarios, cumpliendo así la meta para la presente vig</w:t>
            </w:r>
            <w:r w:rsidR="00B90824" w:rsidRPr="00B90824">
              <w:rPr>
                <w:color w:val="000000"/>
                <w:sz w:val="20"/>
                <w:szCs w:val="20"/>
                <w:lang w:val="es-CO" w:eastAsia="es-CO"/>
              </w:rPr>
              <w:t xml:space="preserve">encia, </w:t>
            </w:r>
            <w:r w:rsidR="00B90824">
              <w:rPr>
                <w:color w:val="000000"/>
                <w:sz w:val="20"/>
                <w:szCs w:val="20"/>
                <w:lang w:val="es-CO" w:eastAsia="es-CO"/>
              </w:rPr>
              <w:t xml:space="preserve">sin embargo </w:t>
            </w:r>
            <w:r w:rsidR="00B90824" w:rsidRPr="00B90824">
              <w:rPr>
                <w:color w:val="000000"/>
                <w:sz w:val="20"/>
                <w:szCs w:val="20"/>
                <w:lang w:val="es-CO" w:eastAsia="es-CO"/>
              </w:rPr>
              <w:t xml:space="preserve">los usuarios son susceptibles de continuar recibiendo el servicio acorde con el Plan Nacional de asistencia técnica y reforma rural integral acorde con los proyectos de extensión agropecuario formulados e implementados en cada uno de los departamentos. En total se aprobaron 8 </w:t>
            </w:r>
            <w:proofErr w:type="spellStart"/>
            <w:r w:rsidR="00B90824" w:rsidRPr="00B90824">
              <w:rPr>
                <w:color w:val="000000"/>
                <w:sz w:val="20"/>
                <w:szCs w:val="20"/>
                <w:lang w:val="es-CO" w:eastAsia="es-CO"/>
              </w:rPr>
              <w:t>PDE</w:t>
            </w:r>
            <w:r w:rsidR="00B90824">
              <w:rPr>
                <w:color w:val="000000"/>
                <w:sz w:val="20"/>
                <w:szCs w:val="20"/>
                <w:lang w:val="es-CO" w:eastAsia="es-CO"/>
              </w:rPr>
              <w:t>A</w:t>
            </w:r>
            <w:proofErr w:type="spellEnd"/>
            <w:r w:rsidR="00B90824">
              <w:rPr>
                <w:color w:val="000000"/>
                <w:sz w:val="20"/>
                <w:szCs w:val="20"/>
                <w:lang w:val="es-CO" w:eastAsia="es-CO"/>
              </w:rPr>
              <w:t xml:space="preserve"> en la vigencia 2019.</w:t>
            </w:r>
          </w:p>
        </w:tc>
      </w:tr>
    </w:tbl>
    <w:p w:rsidR="002B39D3" w:rsidRDefault="002B39D3" w:rsidP="002B39D3">
      <w:r w:rsidRPr="00315029">
        <w:rPr>
          <w:sz w:val="16"/>
        </w:rPr>
        <w:t xml:space="preserve">Fuente: </w:t>
      </w:r>
      <w:r>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w:t>
      </w:r>
      <w:r w:rsidR="009C575D">
        <w:rPr>
          <w:sz w:val="16"/>
        </w:rPr>
        <w:t>31 de diciembre</w:t>
      </w:r>
    </w:p>
    <w:p w:rsidR="000C1712" w:rsidRDefault="000C1712" w:rsidP="00C74C5C">
      <w:pPr>
        <w:pStyle w:val="Prrafodelista"/>
        <w:ind w:left="360"/>
      </w:pPr>
    </w:p>
    <w:p w:rsidR="00E15080" w:rsidRDefault="00E15080" w:rsidP="000D7B81">
      <w:pPr>
        <w:jc w:val="both"/>
        <w:rPr>
          <w:color w:val="000000"/>
          <w:lang w:eastAsia="es-CO"/>
        </w:rPr>
      </w:pPr>
      <w:r>
        <w:rPr>
          <w:color w:val="000000"/>
          <w:lang w:eastAsia="es-CO"/>
        </w:rPr>
        <w:t xml:space="preserve">El objetivo estratégico 2 tuvo un avance del </w:t>
      </w:r>
      <w:r w:rsidR="005112E3">
        <w:rPr>
          <w:b/>
          <w:color w:val="000000"/>
          <w:lang w:eastAsia="es-CO"/>
        </w:rPr>
        <w:t>91</w:t>
      </w:r>
      <w:r w:rsidRPr="000D7B81">
        <w:rPr>
          <w:b/>
          <w:color w:val="000000"/>
          <w:lang w:eastAsia="es-CO"/>
        </w:rPr>
        <w:t>%</w:t>
      </w:r>
      <w:r>
        <w:rPr>
          <w:color w:val="000000"/>
          <w:lang w:eastAsia="es-CO"/>
        </w:rPr>
        <w:t xml:space="preserve">, lo cual está relacionado con la expedición de la reglamentación del servicio de extensión agropecuaria y </w:t>
      </w:r>
      <w:r w:rsidR="00152102">
        <w:rPr>
          <w:color w:val="000000"/>
          <w:lang w:eastAsia="es-CO"/>
        </w:rPr>
        <w:t>la</w:t>
      </w:r>
      <w:r>
        <w:rPr>
          <w:color w:val="000000"/>
          <w:lang w:eastAsia="es-CO"/>
        </w:rPr>
        <w:t xml:space="preserve"> subsecuente habilitación de las </w:t>
      </w:r>
      <w:r w:rsidR="000D7B81" w:rsidRPr="000D7B81">
        <w:rPr>
          <w:color w:val="000000"/>
          <w:lang w:eastAsia="es-CO"/>
        </w:rPr>
        <w:t xml:space="preserve">Empresas Prestadoras de Servicio de Extensión Agropecuaria - </w:t>
      </w:r>
      <w:proofErr w:type="spellStart"/>
      <w:r>
        <w:rPr>
          <w:color w:val="000000"/>
          <w:lang w:eastAsia="es-CO"/>
        </w:rPr>
        <w:t>EPSEAS</w:t>
      </w:r>
      <w:proofErr w:type="spellEnd"/>
      <w:r>
        <w:rPr>
          <w:color w:val="000000"/>
          <w:lang w:eastAsia="es-CO"/>
        </w:rPr>
        <w:t xml:space="preserve"> por parte de la Agencia de Desarrollo Rural. </w:t>
      </w:r>
    </w:p>
    <w:p w:rsidR="00E15080" w:rsidRDefault="00E15080" w:rsidP="00E15080">
      <w:pPr>
        <w:jc w:val="both"/>
        <w:rPr>
          <w:color w:val="000000"/>
          <w:lang w:eastAsia="es-CO"/>
        </w:rPr>
      </w:pPr>
    </w:p>
    <w:p w:rsidR="00E15080" w:rsidRDefault="00152102" w:rsidP="00E15080">
      <w:pPr>
        <w:jc w:val="both"/>
        <w:rPr>
          <w:color w:val="000000"/>
          <w:lang w:eastAsia="es-CO"/>
        </w:rPr>
      </w:pPr>
      <w:r>
        <w:rPr>
          <w:color w:val="000000"/>
          <w:lang w:eastAsia="es-CO"/>
        </w:rPr>
        <w:t>De acuerdo con el reporte realizado por la Dirección de Asistencia Técnica de la ADR, durante el mes de noviembre se atendieron los 20.000 usuarios con servicio púbico de extensión agropecuaria.</w:t>
      </w:r>
    </w:p>
    <w:p w:rsidR="00E15080" w:rsidRDefault="00E15080" w:rsidP="00E15080">
      <w:pPr>
        <w:jc w:val="both"/>
        <w:rPr>
          <w:color w:val="000000"/>
          <w:lang w:eastAsia="es-CO"/>
        </w:rPr>
      </w:pPr>
    </w:p>
    <w:p w:rsidR="00412626" w:rsidRDefault="00412626" w:rsidP="00E15080">
      <w:pPr>
        <w:jc w:val="both"/>
        <w:rPr>
          <w:color w:val="000000"/>
          <w:lang w:eastAsia="es-CO"/>
        </w:rPr>
      </w:pPr>
    </w:p>
    <w:p w:rsidR="000F4C60" w:rsidRPr="00C85548" w:rsidRDefault="000F4C60" w:rsidP="000F4C60">
      <w:pPr>
        <w:pStyle w:val="Ttulo2"/>
        <w:spacing w:before="0"/>
        <w:rPr>
          <w:rFonts w:eastAsia="Times New Roman"/>
          <w:lang w:eastAsia="es-CO"/>
        </w:rPr>
      </w:pPr>
      <w:bookmarkStart w:id="7" w:name="_Toc514676731"/>
      <w:bookmarkStart w:id="8" w:name="_Toc16585511"/>
      <w:r w:rsidRPr="00C85548">
        <w:rPr>
          <w:rFonts w:eastAsia="Times New Roman"/>
          <w:lang w:eastAsia="es-CO"/>
        </w:rPr>
        <w:lastRenderedPageBreak/>
        <w:t xml:space="preserve">Línea Estratégica 2: </w:t>
      </w:r>
      <w:bookmarkEnd w:id="7"/>
      <w:r w:rsidRPr="000621BE">
        <w:rPr>
          <w:rFonts w:eastAsia="Times New Roman"/>
          <w:lang w:eastAsia="es-CO"/>
        </w:rPr>
        <w:t>Optimización del servicio público de adecuación de tierras</w:t>
      </w:r>
      <w:bookmarkEnd w:id="8"/>
    </w:p>
    <w:p w:rsidR="000F4C60" w:rsidRDefault="000F4C60" w:rsidP="000F4C60">
      <w:pPr>
        <w:rPr>
          <w:lang w:eastAsia="es-CO"/>
        </w:rPr>
      </w:pPr>
    </w:p>
    <w:p w:rsidR="000F4C60" w:rsidRDefault="000F4C60" w:rsidP="000F4C60">
      <w:pPr>
        <w:jc w:val="both"/>
        <w:rPr>
          <w:lang w:eastAsia="es-CO"/>
        </w:rPr>
      </w:pPr>
      <w:r>
        <w:rPr>
          <w:lang w:eastAsia="es-CO"/>
        </w:rPr>
        <w:t xml:space="preserve">Esta Línea Estratégica reporta un avance del </w:t>
      </w:r>
      <w:r w:rsidR="001C21CE" w:rsidRPr="001C21CE">
        <w:rPr>
          <w:b/>
          <w:lang w:eastAsia="es-CO"/>
        </w:rPr>
        <w:t>83.38</w:t>
      </w:r>
      <w:r w:rsidRPr="002D0D7F">
        <w:rPr>
          <w:b/>
          <w:lang w:eastAsia="es-CO"/>
        </w:rPr>
        <w:t>%</w:t>
      </w:r>
      <w:r>
        <w:rPr>
          <w:lang w:eastAsia="es-CO"/>
        </w:rPr>
        <w:t xml:space="preserve"> en su objetivo estratégico 3 “</w:t>
      </w:r>
      <w:r w:rsidRPr="002D0D7F">
        <w:rPr>
          <w:lang w:eastAsia="es-CO"/>
        </w:rPr>
        <w:t>Aumentar la cobertura y calidad en la provisión del servicio público de adecuación de tierras</w:t>
      </w:r>
      <w:r>
        <w:rPr>
          <w:lang w:eastAsia="es-CO"/>
        </w:rPr>
        <w:t>”, lo anterior considerando que hay indicadores que tienen un comportamiento constante (a menos que se deje de realizar la actividad) y otros que dependen de procesos contractuales, que por el monto y requerimientos técnicos, toma más tiempo la adjudicación de los mismos, en la Tabla N°4</w:t>
      </w:r>
      <w:r w:rsidR="007138CD">
        <w:rPr>
          <w:lang w:eastAsia="es-CO"/>
        </w:rPr>
        <w:t>, se presentan los avances</w:t>
      </w:r>
      <w:r>
        <w:rPr>
          <w:lang w:eastAsia="es-CO"/>
        </w:rPr>
        <w:t>:</w:t>
      </w:r>
    </w:p>
    <w:p w:rsidR="00412626" w:rsidRDefault="00412626" w:rsidP="000F4C60">
      <w:pPr>
        <w:rPr>
          <w:lang w:eastAsia="es-CO"/>
        </w:rPr>
      </w:pPr>
    </w:p>
    <w:p w:rsidR="000F4C60" w:rsidRDefault="000F4C60" w:rsidP="000F4C60">
      <w:pPr>
        <w:pStyle w:val="Epgrafe"/>
      </w:pPr>
      <w:bookmarkStart w:id="9" w:name="_Toc517190567"/>
      <w:r>
        <w:t xml:space="preserve">Tabla N° </w:t>
      </w:r>
      <w:fldSimple w:instr=" SEQ Tabla_N° \* ARABIC ">
        <w:r w:rsidR="00874AC6">
          <w:rPr>
            <w:noProof/>
          </w:rPr>
          <w:t>4</w:t>
        </w:r>
      </w:fldSimple>
      <w:r>
        <w:t xml:space="preserve">: Avances indicadores Objetivo Estratégico </w:t>
      </w:r>
      <w:bookmarkEnd w:id="9"/>
      <w:r>
        <w:t>3</w:t>
      </w:r>
    </w:p>
    <w:p w:rsidR="00145A2D" w:rsidRPr="00145A2D" w:rsidRDefault="00145A2D" w:rsidP="00145A2D">
      <w:pPr>
        <w:rPr>
          <w:lang w:val="es-CO" w:eastAsia="en-US"/>
        </w:rPr>
      </w:pPr>
    </w:p>
    <w:tbl>
      <w:tblPr>
        <w:tblW w:w="91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5"/>
        <w:gridCol w:w="1545"/>
        <w:gridCol w:w="29"/>
        <w:gridCol w:w="992"/>
        <w:gridCol w:w="1247"/>
        <w:gridCol w:w="2155"/>
        <w:gridCol w:w="1621"/>
      </w:tblGrid>
      <w:tr w:rsidR="00412626" w:rsidRPr="00721068" w:rsidTr="00145A2D">
        <w:trPr>
          <w:trHeight w:val="552"/>
          <w:tblHeader/>
        </w:trPr>
        <w:tc>
          <w:tcPr>
            <w:tcW w:w="7513" w:type="dxa"/>
            <w:gridSpan w:val="6"/>
            <w:shd w:val="clear" w:color="auto" w:fill="A8D08D" w:themeFill="accent6" w:themeFillTint="99"/>
          </w:tcPr>
          <w:p w:rsidR="00412626" w:rsidRPr="00721068" w:rsidRDefault="00412626" w:rsidP="00507AAF">
            <w:pPr>
              <w:jc w:val="both"/>
              <w:rPr>
                <w:b/>
                <w:bCs/>
                <w:color w:val="000000" w:themeColor="text1"/>
                <w:sz w:val="20"/>
                <w:szCs w:val="20"/>
                <w:lang w:val="es-CO" w:eastAsia="es-CO"/>
              </w:rPr>
            </w:pPr>
            <w:r w:rsidRPr="000A573A">
              <w:rPr>
                <w:b/>
                <w:bCs/>
                <w:color w:val="000000" w:themeColor="text1"/>
                <w:sz w:val="20"/>
                <w:szCs w:val="20"/>
                <w:lang w:val="es-CO" w:eastAsia="es-CO"/>
              </w:rPr>
              <w:t>3.  Aumentar la cobertura y calidad en la provisión del servicio público de adecuación de tierras</w:t>
            </w:r>
          </w:p>
        </w:tc>
        <w:tc>
          <w:tcPr>
            <w:tcW w:w="1621" w:type="dxa"/>
            <w:shd w:val="clear" w:color="auto" w:fill="A8D08D" w:themeFill="accent6" w:themeFillTint="99"/>
            <w:noWrap/>
            <w:vAlign w:val="center"/>
            <w:hideMark/>
          </w:tcPr>
          <w:p w:rsidR="00412626" w:rsidRPr="00AB59DD" w:rsidRDefault="00412626" w:rsidP="002867B8">
            <w:pPr>
              <w:jc w:val="center"/>
              <w:rPr>
                <w:b/>
                <w:bCs/>
                <w:color w:val="000000" w:themeColor="text1"/>
                <w:sz w:val="28"/>
                <w:szCs w:val="28"/>
                <w:lang w:val="es-CO" w:eastAsia="es-CO"/>
              </w:rPr>
            </w:pPr>
            <w:r>
              <w:rPr>
                <w:b/>
                <w:sz w:val="28"/>
                <w:szCs w:val="28"/>
                <w:lang w:eastAsia="es-CO"/>
              </w:rPr>
              <w:t>83</w:t>
            </w:r>
            <w:r w:rsidRPr="00AB59DD">
              <w:rPr>
                <w:b/>
                <w:sz w:val="28"/>
                <w:szCs w:val="28"/>
                <w:lang w:eastAsia="es-CO"/>
              </w:rPr>
              <w:t>%</w:t>
            </w:r>
            <w:r w:rsidRPr="00AB59DD">
              <w:rPr>
                <w:sz w:val="28"/>
                <w:szCs w:val="28"/>
                <w:lang w:eastAsia="es-CO"/>
              </w:rPr>
              <w:t xml:space="preserve"> </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blHeader/>
        </w:trPr>
        <w:tc>
          <w:tcPr>
            <w:tcW w:w="154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12626" w:rsidRPr="00AA435F" w:rsidRDefault="00412626" w:rsidP="00412626">
            <w:pPr>
              <w:jc w:val="center"/>
              <w:rPr>
                <w:b/>
                <w:bCs/>
                <w:color w:val="000000" w:themeColor="text1"/>
                <w:sz w:val="18"/>
                <w:szCs w:val="18"/>
                <w:lang w:val="es-CO" w:eastAsia="es-CO"/>
              </w:rPr>
            </w:pPr>
            <w:r w:rsidRPr="00AA435F">
              <w:rPr>
                <w:b/>
                <w:bCs/>
                <w:color w:val="000000" w:themeColor="text1"/>
                <w:sz w:val="18"/>
                <w:szCs w:val="18"/>
                <w:lang w:val="es-CO" w:eastAsia="es-CO"/>
              </w:rPr>
              <w:t>Proceso</w:t>
            </w:r>
          </w:p>
        </w:tc>
        <w:tc>
          <w:tcPr>
            <w:tcW w:w="154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12626" w:rsidRPr="00AA435F" w:rsidRDefault="00412626" w:rsidP="000A573A">
            <w:pPr>
              <w:jc w:val="center"/>
              <w:rPr>
                <w:b/>
                <w:bCs/>
                <w:color w:val="000000" w:themeColor="text1"/>
                <w:sz w:val="18"/>
                <w:szCs w:val="18"/>
                <w:lang w:val="es-CO" w:eastAsia="es-CO"/>
              </w:rPr>
            </w:pPr>
            <w:r w:rsidRPr="00AA435F">
              <w:rPr>
                <w:b/>
                <w:bCs/>
                <w:color w:val="000000" w:themeColor="text1"/>
                <w:sz w:val="18"/>
                <w:szCs w:val="18"/>
                <w:lang w:val="es-CO" w:eastAsia="es-CO"/>
              </w:rPr>
              <w:t>Indicador</w:t>
            </w:r>
          </w:p>
        </w:tc>
        <w:tc>
          <w:tcPr>
            <w:tcW w:w="1021" w:type="dxa"/>
            <w:gridSpan w:val="2"/>
            <w:tcBorders>
              <w:top w:val="nil"/>
              <w:left w:val="single" w:sz="4" w:space="0" w:color="auto"/>
              <w:bottom w:val="single" w:sz="8" w:space="0" w:color="auto"/>
              <w:right w:val="single" w:sz="8" w:space="0" w:color="auto"/>
            </w:tcBorders>
            <w:shd w:val="clear" w:color="auto" w:fill="A8D08D" w:themeFill="accent6" w:themeFillTint="99"/>
            <w:vAlign w:val="center"/>
            <w:hideMark/>
          </w:tcPr>
          <w:p w:rsidR="00412626" w:rsidRPr="00AA435F" w:rsidRDefault="00412626" w:rsidP="000A573A">
            <w:pPr>
              <w:jc w:val="center"/>
              <w:rPr>
                <w:b/>
                <w:bCs/>
                <w:color w:val="000000" w:themeColor="text1"/>
                <w:sz w:val="18"/>
                <w:szCs w:val="18"/>
                <w:lang w:val="es-CO" w:eastAsia="es-CO"/>
              </w:rPr>
            </w:pPr>
            <w:r w:rsidRPr="00AA435F">
              <w:rPr>
                <w:b/>
                <w:bCs/>
                <w:color w:val="000000" w:themeColor="text1"/>
                <w:sz w:val="18"/>
                <w:szCs w:val="18"/>
                <w:lang w:val="es-CO" w:eastAsia="es-CO"/>
              </w:rPr>
              <w:t>Meta</w:t>
            </w:r>
          </w:p>
        </w:tc>
        <w:tc>
          <w:tcPr>
            <w:tcW w:w="1247" w:type="dxa"/>
            <w:tcBorders>
              <w:top w:val="nil"/>
              <w:left w:val="nil"/>
              <w:bottom w:val="single" w:sz="8" w:space="0" w:color="auto"/>
              <w:right w:val="single" w:sz="8" w:space="0" w:color="auto"/>
            </w:tcBorders>
            <w:shd w:val="clear" w:color="auto" w:fill="A8D08D" w:themeFill="accent6" w:themeFillTint="99"/>
            <w:vAlign w:val="center"/>
            <w:hideMark/>
          </w:tcPr>
          <w:p w:rsidR="00412626" w:rsidRPr="00AA435F" w:rsidRDefault="00412626" w:rsidP="000A573A">
            <w:pPr>
              <w:jc w:val="center"/>
              <w:rPr>
                <w:b/>
                <w:bCs/>
                <w:color w:val="000000" w:themeColor="text1"/>
                <w:sz w:val="18"/>
                <w:szCs w:val="18"/>
                <w:lang w:val="es-CO" w:eastAsia="es-CO"/>
              </w:rPr>
            </w:pPr>
            <w:r w:rsidRPr="00AA435F">
              <w:rPr>
                <w:b/>
                <w:bCs/>
                <w:color w:val="000000" w:themeColor="text1"/>
                <w:sz w:val="18"/>
                <w:szCs w:val="18"/>
                <w:lang w:val="es-CO" w:eastAsia="es-CO"/>
              </w:rPr>
              <w:t>% Avance cuantitativo</w:t>
            </w:r>
          </w:p>
        </w:tc>
        <w:tc>
          <w:tcPr>
            <w:tcW w:w="3776" w:type="dxa"/>
            <w:gridSpan w:val="2"/>
            <w:tcBorders>
              <w:top w:val="nil"/>
              <w:left w:val="nil"/>
              <w:bottom w:val="single" w:sz="8" w:space="0" w:color="auto"/>
              <w:right w:val="single" w:sz="8" w:space="0" w:color="000000"/>
            </w:tcBorders>
            <w:shd w:val="clear" w:color="auto" w:fill="A8D08D" w:themeFill="accent6" w:themeFillTint="99"/>
            <w:vAlign w:val="center"/>
            <w:hideMark/>
          </w:tcPr>
          <w:p w:rsidR="00412626" w:rsidRPr="00AA435F" w:rsidRDefault="00412626" w:rsidP="000A573A">
            <w:pPr>
              <w:tabs>
                <w:tab w:val="left" w:pos="4402"/>
              </w:tabs>
              <w:jc w:val="center"/>
              <w:rPr>
                <w:b/>
                <w:bCs/>
                <w:color w:val="000000" w:themeColor="text1"/>
                <w:sz w:val="18"/>
                <w:szCs w:val="18"/>
                <w:lang w:val="es-CO" w:eastAsia="es-CO"/>
              </w:rPr>
            </w:pPr>
            <w:r w:rsidRPr="00AA435F">
              <w:rPr>
                <w:b/>
                <w:bCs/>
                <w:color w:val="000000" w:themeColor="text1"/>
                <w:sz w:val="18"/>
                <w:szCs w:val="18"/>
                <w:lang w:val="es-CO" w:eastAsia="es-CO"/>
              </w:rPr>
              <w:t>Avance Cualitativo</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8"/>
        </w:trPr>
        <w:tc>
          <w:tcPr>
            <w:tcW w:w="1545" w:type="dxa"/>
            <w:tcBorders>
              <w:top w:val="single" w:sz="4" w:space="0" w:color="auto"/>
              <w:left w:val="single" w:sz="4" w:space="0" w:color="auto"/>
              <w:bottom w:val="single" w:sz="8" w:space="0" w:color="auto"/>
              <w:right w:val="single" w:sz="8" w:space="0" w:color="auto"/>
            </w:tcBorders>
          </w:tcPr>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Default="00412626" w:rsidP="00064B95">
            <w:pPr>
              <w:rPr>
                <w:color w:val="000000"/>
                <w:sz w:val="20"/>
                <w:szCs w:val="20"/>
                <w:lang w:val="es-CO" w:eastAsia="es-CO"/>
              </w:rPr>
            </w:pPr>
          </w:p>
          <w:p w:rsidR="00412626" w:rsidRPr="00064B95" w:rsidRDefault="00412626" w:rsidP="00064B95">
            <w:pPr>
              <w:rPr>
                <w:color w:val="000000"/>
                <w:sz w:val="20"/>
                <w:szCs w:val="20"/>
                <w:lang w:val="es-CO" w:eastAsia="es-CO"/>
              </w:rPr>
            </w:pPr>
            <w:r>
              <w:rPr>
                <w:color w:val="000000"/>
                <w:sz w:val="20"/>
                <w:szCs w:val="20"/>
                <w:lang w:val="es-CO" w:eastAsia="es-CO"/>
              </w:rPr>
              <w:t>Prestación y apoyo al servicio público de adecuación de tierras</w:t>
            </w:r>
          </w:p>
        </w:tc>
        <w:tc>
          <w:tcPr>
            <w:tcW w:w="15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Asociaciones capacitadas dentro de los PIDAR</w:t>
            </w:r>
          </w:p>
        </w:tc>
        <w:tc>
          <w:tcPr>
            <w:tcW w:w="1021" w:type="dxa"/>
            <w:gridSpan w:val="2"/>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right"/>
              <w:rPr>
                <w:color w:val="000000"/>
                <w:sz w:val="20"/>
                <w:szCs w:val="20"/>
                <w:lang w:val="es-CO" w:eastAsia="es-CO"/>
              </w:rPr>
            </w:pPr>
            <w:r w:rsidRPr="00064B95">
              <w:rPr>
                <w:color w:val="000000"/>
                <w:sz w:val="20"/>
                <w:szCs w:val="20"/>
                <w:lang w:val="es-CO" w:eastAsia="es-CO"/>
              </w:rPr>
              <w:t>150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E31F11" w:rsidP="00064B95">
            <w:pPr>
              <w:jc w:val="center"/>
              <w:rPr>
                <w:color w:val="000000"/>
                <w:sz w:val="20"/>
                <w:szCs w:val="20"/>
                <w:lang w:val="es-CO" w:eastAsia="es-CO"/>
              </w:rPr>
            </w:pPr>
            <w:r>
              <w:rPr>
                <w:color w:val="000000"/>
                <w:sz w:val="20"/>
                <w:szCs w:val="20"/>
                <w:lang w:val="es-CO" w:eastAsia="es-CO"/>
              </w:rPr>
              <w:t>47%</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Se desarrolló el foro “Uso Eficiente del Agua en los Distritos de Adecuación de Tierras, herramienta de desarrollo rural”, en la sede administrativa de la Asociación de Usuarios </w:t>
            </w:r>
            <w:proofErr w:type="spellStart"/>
            <w:r w:rsidRPr="00064B95">
              <w:rPr>
                <w:color w:val="000000"/>
                <w:sz w:val="20"/>
                <w:szCs w:val="20"/>
                <w:lang w:val="es-CO" w:eastAsia="es-CO"/>
              </w:rPr>
              <w:t>USOCHICAMOCHA</w:t>
            </w:r>
            <w:proofErr w:type="spellEnd"/>
            <w:r w:rsidRPr="00064B95">
              <w:rPr>
                <w:color w:val="000000"/>
                <w:sz w:val="20"/>
                <w:szCs w:val="20"/>
                <w:lang w:val="es-CO" w:eastAsia="es-CO"/>
              </w:rPr>
              <w:t>, ubicada en el municipio de Duitama, departamento de Boyacá</w:t>
            </w:r>
            <w:proofErr w:type="gramStart"/>
            <w:r w:rsidRPr="00064B95">
              <w:rPr>
                <w:color w:val="000000"/>
                <w:sz w:val="20"/>
                <w:szCs w:val="20"/>
                <w:lang w:val="es-CO" w:eastAsia="es-CO"/>
              </w:rPr>
              <w:t>,.</w:t>
            </w:r>
            <w:proofErr w:type="gramEnd"/>
            <w:r w:rsidRPr="00064B95">
              <w:rPr>
                <w:color w:val="000000"/>
                <w:sz w:val="20"/>
                <w:szCs w:val="20"/>
                <w:lang w:val="es-CO" w:eastAsia="es-CO"/>
              </w:rPr>
              <w:t xml:space="preserve"> Se invitaron 120 asociaciones de usuarios y se contó con la asistencia de, un estimado, de 30 asociaciones. Capacitación a usuarios de distritos de adecuación de tierras sobre facilidades de pago y el programa </w:t>
            </w:r>
            <w:proofErr w:type="spellStart"/>
            <w:proofErr w:type="gramStart"/>
            <w:r w:rsidRPr="00064B95">
              <w:rPr>
                <w:color w:val="000000"/>
                <w:sz w:val="20"/>
                <w:szCs w:val="20"/>
                <w:lang w:val="es-CO" w:eastAsia="es-CO"/>
              </w:rPr>
              <w:t>SIFI</w:t>
            </w:r>
            <w:proofErr w:type="spellEnd"/>
            <w:r w:rsidRPr="00064B95">
              <w:rPr>
                <w:color w:val="000000"/>
                <w:sz w:val="20"/>
                <w:szCs w:val="20"/>
                <w:lang w:val="es-CO" w:eastAsia="es-CO"/>
              </w:rPr>
              <w:t xml:space="preserve"> :</w:t>
            </w:r>
            <w:proofErr w:type="gramEnd"/>
            <w:r w:rsidRPr="00064B95">
              <w:rPr>
                <w:color w:val="000000"/>
                <w:sz w:val="20"/>
                <w:szCs w:val="20"/>
                <w:lang w:val="es-CO" w:eastAsia="es-CO"/>
              </w:rPr>
              <w:t xml:space="preserve"> Repelón, Santa Lucía (Atlántico); RUT (Valle del Cauca), Montería - Mocarí (Córdoba); Lebrija (Santander), Ábrego y Zulia (Norte de Santander). Algunas de ellas no reportadas y realizadas en meses anteriores.</w:t>
            </w:r>
            <w:r w:rsidRPr="00064B95">
              <w:rPr>
                <w:color w:val="000000"/>
                <w:sz w:val="20"/>
                <w:szCs w:val="20"/>
                <w:lang w:val="es-CO" w:eastAsia="es-CO"/>
              </w:rPr>
              <w:br/>
              <w:t>Durante el año se han  capacitado a</w:t>
            </w:r>
            <w:r w:rsidRPr="00064B95">
              <w:rPr>
                <w:b/>
                <w:bCs/>
                <w:color w:val="000000"/>
                <w:sz w:val="20"/>
                <w:szCs w:val="20"/>
                <w:lang w:val="es-CO" w:eastAsia="es-CO"/>
              </w:rPr>
              <w:t xml:space="preserve"> 70</w:t>
            </w:r>
            <w:r w:rsidRPr="00064B95">
              <w:rPr>
                <w:color w:val="000000"/>
                <w:sz w:val="20"/>
                <w:szCs w:val="20"/>
                <w:lang w:val="es-CO" w:eastAsia="es-CO"/>
              </w:rPr>
              <w:t xml:space="preserve"> asociaciones de usuarios de los Distritos de Mediana y Gran Escala de propiedad de la ADR, en temas relacionados con: elaboración de presupuestos vigencia 2020, procedimiento de recaudo de cartera, formatos, facilidades de pago, planes de amortización; prescripciones, relación detallada de valores, parametrización tarifas diferenciales.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3"/>
        </w:trPr>
        <w:tc>
          <w:tcPr>
            <w:tcW w:w="1545" w:type="dxa"/>
            <w:tcBorders>
              <w:top w:val="nil"/>
              <w:left w:val="single" w:sz="4" w:space="0" w:color="auto"/>
              <w:bottom w:val="single" w:sz="8" w:space="0" w:color="auto"/>
              <w:right w:val="single" w:sz="8" w:space="0" w:color="auto"/>
            </w:tcBorders>
            <w:vAlign w:val="center"/>
          </w:tcPr>
          <w:p w:rsidR="00412626" w:rsidRPr="00064B95" w:rsidRDefault="00412626" w:rsidP="00412626">
            <w:pPr>
              <w:jc w:val="center"/>
              <w:rPr>
                <w:color w:val="000000"/>
                <w:sz w:val="20"/>
                <w:szCs w:val="20"/>
                <w:lang w:val="es-CO" w:eastAsia="es-CO"/>
              </w:rPr>
            </w:pPr>
            <w:r>
              <w:rPr>
                <w:color w:val="000000"/>
                <w:sz w:val="20"/>
                <w:szCs w:val="20"/>
                <w:lang w:val="es-CO" w:eastAsia="es-CO"/>
              </w:rPr>
              <w:lastRenderedPageBreak/>
              <w:t>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Cartera de recuperación de inversiones y tarifas detallada</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4</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75 %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Durante el tercer trimestre se realizaron dos (2) jornadas de cobro persuasivo respecto a la cartera de recuperación de inversiones en las asociaciones de usuarios </w:t>
            </w:r>
            <w:proofErr w:type="spellStart"/>
            <w:r w:rsidRPr="00064B95">
              <w:rPr>
                <w:color w:val="000000"/>
                <w:sz w:val="20"/>
                <w:szCs w:val="20"/>
                <w:lang w:val="es-CO" w:eastAsia="es-CO"/>
              </w:rPr>
              <w:t>ASOPORVENIR</w:t>
            </w:r>
            <w:proofErr w:type="spellEnd"/>
            <w:r w:rsidRPr="00064B95">
              <w:rPr>
                <w:color w:val="000000"/>
                <w:sz w:val="20"/>
                <w:szCs w:val="20"/>
                <w:lang w:val="es-CO" w:eastAsia="es-CO"/>
              </w:rPr>
              <w:t xml:space="preserve"> y </w:t>
            </w:r>
            <w:proofErr w:type="spellStart"/>
            <w:r w:rsidRPr="00064B95">
              <w:rPr>
                <w:color w:val="000000"/>
                <w:sz w:val="20"/>
                <w:szCs w:val="20"/>
                <w:lang w:val="es-CO" w:eastAsia="es-CO"/>
              </w:rPr>
              <w:t>ASOSUSAGRAMAL</w:t>
            </w:r>
            <w:proofErr w:type="spellEnd"/>
            <w:r w:rsidRPr="00064B95">
              <w:rPr>
                <w:color w:val="000000"/>
                <w:sz w:val="20"/>
                <w:szCs w:val="20"/>
                <w:lang w:val="es-CO" w:eastAsia="es-CO"/>
              </w:rPr>
              <w:t>.  Se continúa la realización de visitas a las Asociaciones de Usuarios para socializar estados de la cartera por cada uno de los usuarios y entregar formatos de cobro persuasivo.  Con el fin de promover la cultura de pago y potenciar el recaudo de la cartera por Recuperación de la Inversión, entregada por el extinto INCODER, se continúa la realización de visitas a las Asociaciones de Usuarios para socializar estados de la cartera por cada uno de los usuarios y entregar formatos de cobro persuasivo.</w:t>
            </w:r>
            <w:r w:rsidRPr="00064B95">
              <w:rPr>
                <w:color w:val="000000"/>
                <w:sz w:val="20"/>
                <w:szCs w:val="20"/>
                <w:lang w:val="es-CO" w:eastAsia="es-CO"/>
              </w:rPr>
              <w:br/>
              <w:t xml:space="preserve"> Se realizaron  3  informes de retroalimentación de cartera para  2019</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6"/>
        </w:trPr>
        <w:tc>
          <w:tcPr>
            <w:tcW w:w="1545" w:type="dxa"/>
            <w:tcBorders>
              <w:top w:val="nil"/>
              <w:left w:val="single" w:sz="4" w:space="0" w:color="auto"/>
              <w:bottom w:val="single" w:sz="8" w:space="0" w:color="auto"/>
              <w:right w:val="single" w:sz="8" w:space="0" w:color="auto"/>
            </w:tcBorders>
            <w:vAlign w:val="center"/>
          </w:tcPr>
          <w:p w:rsidR="00412626" w:rsidRPr="00064B95" w:rsidRDefault="00412626" w:rsidP="00412626">
            <w:pPr>
              <w:jc w:val="center"/>
              <w:rPr>
                <w:color w:val="000000"/>
                <w:sz w:val="20"/>
                <w:szCs w:val="20"/>
                <w:lang w:val="es-CO" w:eastAsia="es-CO"/>
              </w:rPr>
            </w:pPr>
            <w:r>
              <w:rPr>
                <w:color w:val="000000"/>
                <w:sz w:val="20"/>
                <w:szCs w:val="20"/>
                <w:lang w:val="es-CO" w:eastAsia="es-CO"/>
              </w:rPr>
              <w:t>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FF0AB3" w:rsidRDefault="00412626" w:rsidP="00064B95">
            <w:pPr>
              <w:rPr>
                <w:color w:val="000000"/>
                <w:sz w:val="20"/>
                <w:szCs w:val="20"/>
                <w:lang w:val="es-CO" w:eastAsia="es-CO"/>
              </w:rPr>
            </w:pPr>
            <w:r w:rsidRPr="00FF0AB3">
              <w:rPr>
                <w:color w:val="000000"/>
                <w:sz w:val="20"/>
                <w:szCs w:val="20"/>
                <w:lang w:val="es-CO" w:eastAsia="es-CO"/>
              </w:rPr>
              <w:t>Distritos de adecuación de tierras con estudios de títulos de predios realizados</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FF0AB3" w:rsidRDefault="00412626" w:rsidP="00C963FF">
            <w:pPr>
              <w:jc w:val="center"/>
              <w:rPr>
                <w:color w:val="000000"/>
                <w:sz w:val="20"/>
                <w:szCs w:val="20"/>
                <w:lang w:val="es-CO" w:eastAsia="es-CO"/>
              </w:rPr>
            </w:pPr>
            <w:r w:rsidRPr="00FF0AB3">
              <w:rPr>
                <w:color w:val="000000"/>
                <w:sz w:val="20"/>
                <w:szCs w:val="20"/>
                <w:lang w:val="es-CO" w:eastAsia="es-CO"/>
              </w:rPr>
              <w:t>3</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FF0AB3" w:rsidRDefault="00412626" w:rsidP="00C963FF">
            <w:pPr>
              <w:jc w:val="center"/>
              <w:rPr>
                <w:color w:val="000000"/>
                <w:sz w:val="20"/>
                <w:szCs w:val="20"/>
                <w:lang w:val="es-CO" w:eastAsia="es-CO"/>
              </w:rPr>
            </w:pPr>
            <w:r w:rsidRPr="00FF0AB3">
              <w:rPr>
                <w:color w:val="000000"/>
                <w:sz w:val="20"/>
                <w:szCs w:val="20"/>
                <w:lang w:val="es-CO" w:eastAsia="es-CO"/>
              </w:rPr>
              <w:t>133.33 %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FF0AB3" w:rsidRDefault="00412626" w:rsidP="00BB6FFE">
            <w:pPr>
              <w:jc w:val="both"/>
              <w:rPr>
                <w:color w:val="000000"/>
                <w:sz w:val="20"/>
                <w:szCs w:val="20"/>
                <w:lang w:val="es-CO" w:eastAsia="es-CO"/>
              </w:rPr>
            </w:pPr>
            <w:r w:rsidRPr="00FF0AB3">
              <w:rPr>
                <w:color w:val="000000"/>
                <w:sz w:val="20"/>
                <w:szCs w:val="20"/>
                <w:lang w:val="es-CO" w:eastAsia="es-CO"/>
              </w:rPr>
              <w:t xml:space="preserve">La Agencia de Desarrollo Rural realizó el estudio de títulos de aproximadamente 200 predios del </w:t>
            </w:r>
            <w:r w:rsidRPr="00BB6FFE">
              <w:rPr>
                <w:b/>
                <w:color w:val="000000"/>
                <w:sz w:val="20"/>
                <w:szCs w:val="20"/>
                <w:lang w:val="es-CO" w:eastAsia="es-CO"/>
              </w:rPr>
              <w:t xml:space="preserve">Distrito Coello y </w:t>
            </w:r>
            <w:proofErr w:type="spellStart"/>
            <w:r w:rsidRPr="00BB6FFE">
              <w:rPr>
                <w:b/>
                <w:color w:val="000000"/>
                <w:sz w:val="20"/>
                <w:szCs w:val="20"/>
                <w:lang w:val="es-CO" w:eastAsia="es-CO"/>
              </w:rPr>
              <w:t>Cucuana</w:t>
            </w:r>
            <w:proofErr w:type="spellEnd"/>
            <w:r w:rsidRPr="00BB6FFE">
              <w:rPr>
                <w:b/>
                <w:color w:val="000000"/>
                <w:sz w:val="20"/>
                <w:szCs w:val="20"/>
                <w:lang w:val="es-CO" w:eastAsia="es-CO"/>
              </w:rPr>
              <w:t xml:space="preserve"> (Tolima</w:t>
            </w:r>
            <w:r w:rsidRPr="00FF0AB3">
              <w:rPr>
                <w:color w:val="000000"/>
                <w:sz w:val="20"/>
                <w:szCs w:val="20"/>
                <w:lang w:val="es-CO" w:eastAsia="es-CO"/>
              </w:rPr>
              <w:t xml:space="preserve">).  También  se adelantó el estudio de 62 predios en los: Distritos </w:t>
            </w:r>
            <w:r w:rsidRPr="00BB6FFE">
              <w:rPr>
                <w:b/>
                <w:color w:val="000000"/>
                <w:sz w:val="20"/>
                <w:szCs w:val="20"/>
                <w:lang w:val="es-CO" w:eastAsia="es-CO"/>
              </w:rPr>
              <w:t>María La Baja</w:t>
            </w:r>
            <w:r w:rsidRPr="00FF0AB3">
              <w:rPr>
                <w:color w:val="000000"/>
                <w:sz w:val="20"/>
                <w:szCs w:val="20"/>
                <w:lang w:val="es-CO" w:eastAsia="es-CO"/>
              </w:rPr>
              <w:t xml:space="preserve">, </w:t>
            </w:r>
            <w:proofErr w:type="spellStart"/>
            <w:r w:rsidRPr="00BB6FFE">
              <w:rPr>
                <w:b/>
                <w:color w:val="000000"/>
                <w:sz w:val="20"/>
                <w:szCs w:val="20"/>
                <w:lang w:val="es-CO" w:eastAsia="es-CO"/>
              </w:rPr>
              <w:t>Chicamocha</w:t>
            </w:r>
            <w:proofErr w:type="spellEnd"/>
            <w:r w:rsidR="00BB6FFE">
              <w:rPr>
                <w:b/>
                <w:color w:val="000000"/>
                <w:sz w:val="20"/>
                <w:szCs w:val="20"/>
                <w:lang w:val="es-CO" w:eastAsia="es-CO"/>
              </w:rPr>
              <w:t xml:space="preserve"> y</w:t>
            </w:r>
            <w:r w:rsidRPr="00FF0AB3">
              <w:rPr>
                <w:color w:val="000000"/>
                <w:sz w:val="20"/>
                <w:szCs w:val="20"/>
                <w:lang w:val="es-CO" w:eastAsia="es-CO"/>
              </w:rPr>
              <w:t xml:space="preserve"> </w:t>
            </w:r>
            <w:r w:rsidRPr="00BB6FFE">
              <w:rPr>
                <w:b/>
                <w:color w:val="000000"/>
                <w:sz w:val="20"/>
                <w:szCs w:val="20"/>
                <w:lang w:val="es-CO" w:eastAsia="es-CO"/>
              </w:rPr>
              <w:t>Valle de Sibundoy</w:t>
            </w:r>
            <w:r w:rsidRPr="00FF0AB3">
              <w:rPr>
                <w:color w:val="000000"/>
                <w:sz w:val="20"/>
                <w:szCs w:val="20"/>
                <w:lang w:val="es-CO" w:eastAsia="es-CO"/>
              </w:rPr>
              <w:t>; Alcanzando un total de 4 distritos de adecuación de tierras con estudio de títulos.</w:t>
            </w:r>
            <w:r w:rsidR="00C77C26">
              <w:rPr>
                <w:color w:val="000000"/>
                <w:sz w:val="20"/>
                <w:szCs w:val="20"/>
                <w:lang w:val="es-CO" w:eastAsia="es-CO"/>
              </w:rPr>
              <w:t xml:space="preserve"> La información correspondiente se encuentra en depuración.</w:t>
            </w:r>
            <w:r w:rsidR="00BB6FFE">
              <w:rPr>
                <w:color w:val="000000"/>
                <w:sz w:val="20"/>
                <w:szCs w:val="20"/>
                <w:lang w:val="es-CO" w:eastAsia="es-CO"/>
              </w:rPr>
              <w:t xml:space="preserve"> Para los </w:t>
            </w:r>
            <w:r w:rsidR="00BB6FFE" w:rsidRPr="00FF0AB3">
              <w:rPr>
                <w:color w:val="000000"/>
                <w:sz w:val="20"/>
                <w:szCs w:val="20"/>
                <w:lang w:val="es-CO" w:eastAsia="es-CO"/>
              </w:rPr>
              <w:t>Proyecto</w:t>
            </w:r>
            <w:r w:rsidR="00BB6FFE">
              <w:rPr>
                <w:color w:val="000000"/>
                <w:sz w:val="20"/>
                <w:szCs w:val="20"/>
                <w:lang w:val="es-CO" w:eastAsia="es-CO"/>
              </w:rPr>
              <w:t>s</w:t>
            </w:r>
            <w:r w:rsidR="00BB6FFE" w:rsidRPr="00FF0AB3">
              <w:rPr>
                <w:color w:val="000000"/>
                <w:sz w:val="20"/>
                <w:szCs w:val="20"/>
                <w:lang w:val="es-CO" w:eastAsia="es-CO"/>
              </w:rPr>
              <w:t xml:space="preserve"> Ranc</w:t>
            </w:r>
            <w:r w:rsidR="00BB6FFE">
              <w:rPr>
                <w:color w:val="000000"/>
                <w:sz w:val="20"/>
                <w:szCs w:val="20"/>
                <w:lang w:val="es-CO" w:eastAsia="es-CO"/>
              </w:rPr>
              <w:t>hería y Triángulo del Tolima aún se encuentra en ejecución los estudios de títulos debido a los tramites de formalización de los predios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6"/>
        </w:trPr>
        <w:tc>
          <w:tcPr>
            <w:tcW w:w="1545" w:type="dxa"/>
            <w:tcBorders>
              <w:top w:val="nil"/>
              <w:left w:val="single" w:sz="4" w:space="0" w:color="auto"/>
              <w:bottom w:val="single" w:sz="4" w:space="0" w:color="auto"/>
              <w:right w:val="single" w:sz="8" w:space="0" w:color="auto"/>
            </w:tcBorders>
          </w:tcPr>
          <w:p w:rsidR="00412626" w:rsidRPr="00064B95" w:rsidRDefault="00412626" w:rsidP="00064B95">
            <w:pPr>
              <w:rPr>
                <w:color w:val="000000"/>
                <w:sz w:val="20"/>
                <w:szCs w:val="20"/>
                <w:lang w:val="es-CO" w:eastAsia="es-CO"/>
              </w:rPr>
            </w:pPr>
            <w:r>
              <w:rPr>
                <w:color w:val="000000"/>
                <w:sz w:val="20"/>
                <w:szCs w:val="20"/>
                <w:lang w:val="es-CO" w:eastAsia="es-CO"/>
              </w:rPr>
              <w:lastRenderedPageBreak/>
              <w:t>Prestación y apoyo al servicio público de adecuación de tierras</w:t>
            </w:r>
          </w:p>
        </w:tc>
        <w:tc>
          <w:tcPr>
            <w:tcW w:w="1574" w:type="dxa"/>
            <w:gridSpan w:val="2"/>
            <w:tcBorders>
              <w:top w:val="nil"/>
              <w:left w:val="single" w:sz="4" w:space="0" w:color="auto"/>
              <w:bottom w:val="single" w:sz="4"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Distritos de adecuación de tierras de propiedad del estado con servicio de Administración, Operación y Conservación </w:t>
            </w:r>
          </w:p>
        </w:tc>
        <w:tc>
          <w:tcPr>
            <w:tcW w:w="992" w:type="dxa"/>
            <w:tcBorders>
              <w:top w:val="nil"/>
              <w:left w:val="nil"/>
              <w:bottom w:val="single" w:sz="4"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15</w:t>
            </w:r>
          </w:p>
        </w:tc>
        <w:tc>
          <w:tcPr>
            <w:tcW w:w="1247" w:type="dxa"/>
            <w:tcBorders>
              <w:top w:val="nil"/>
              <w:left w:val="nil"/>
              <w:bottom w:val="single" w:sz="4"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100 %</w:t>
            </w:r>
          </w:p>
        </w:tc>
        <w:tc>
          <w:tcPr>
            <w:tcW w:w="3776" w:type="dxa"/>
            <w:gridSpan w:val="2"/>
            <w:tcBorders>
              <w:top w:val="single" w:sz="8" w:space="0" w:color="auto"/>
              <w:left w:val="nil"/>
              <w:bottom w:val="single" w:sz="4"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La ADR continúa administrando, operando y conservando los 15 distritos de mediana y gran escala de su propiedad, mediante la ejecución de actividades como el pago de servicios, contratación de personal, vigilancia, y otros gastos transversales a su operación. Y actividades de supervisión y seguimiento a los contratos de administración delegada en las asociaciones de usuarios.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4"/>
        </w:trPr>
        <w:tc>
          <w:tcPr>
            <w:tcW w:w="1545" w:type="dxa"/>
            <w:tcBorders>
              <w:top w:val="single" w:sz="4" w:space="0" w:color="auto"/>
              <w:left w:val="single" w:sz="4" w:space="0" w:color="auto"/>
              <w:bottom w:val="single" w:sz="8" w:space="0" w:color="auto"/>
              <w:right w:val="single" w:sz="8" w:space="0" w:color="auto"/>
            </w:tcBorders>
          </w:tcPr>
          <w:p w:rsidR="00412626" w:rsidRPr="00064B95" w:rsidRDefault="00412626" w:rsidP="00064B95">
            <w:pPr>
              <w:rPr>
                <w:color w:val="000000"/>
                <w:sz w:val="20"/>
                <w:szCs w:val="20"/>
                <w:lang w:val="es-CO" w:eastAsia="es-CO"/>
              </w:rPr>
            </w:pPr>
            <w:r>
              <w:rPr>
                <w:color w:val="000000"/>
                <w:sz w:val="20"/>
                <w:szCs w:val="20"/>
                <w:lang w:val="es-CO" w:eastAsia="es-CO"/>
              </w:rPr>
              <w:t>Prestación y apoyo al servicio público de adecuación de tierras</w:t>
            </w:r>
          </w:p>
        </w:tc>
        <w:tc>
          <w:tcPr>
            <w:tcW w:w="1574"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Documentos de lineamientos técnicos elaborados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2</w:t>
            </w:r>
          </w:p>
        </w:tc>
        <w:tc>
          <w:tcPr>
            <w:tcW w:w="1247" w:type="dxa"/>
            <w:tcBorders>
              <w:top w:val="single" w:sz="4" w:space="0" w:color="auto"/>
              <w:left w:val="nil"/>
              <w:bottom w:val="single" w:sz="8"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100 %</w:t>
            </w:r>
          </w:p>
        </w:tc>
        <w:tc>
          <w:tcPr>
            <w:tcW w:w="3776" w:type="dxa"/>
            <w:gridSpan w:val="2"/>
            <w:tcBorders>
              <w:top w:val="single" w:sz="4" w:space="0" w:color="auto"/>
              <w:left w:val="nil"/>
              <w:bottom w:val="single" w:sz="8" w:space="0" w:color="auto"/>
              <w:right w:val="single" w:sz="8" w:space="0" w:color="000000"/>
            </w:tcBorders>
            <w:shd w:val="clear" w:color="auto" w:fill="auto"/>
            <w:vAlign w:val="center"/>
            <w:hideMark/>
          </w:tcPr>
          <w:p w:rsidR="00412626" w:rsidRPr="00064B95" w:rsidRDefault="00412626" w:rsidP="00F819BC">
            <w:pPr>
              <w:jc w:val="both"/>
              <w:rPr>
                <w:color w:val="000000"/>
                <w:sz w:val="20"/>
                <w:szCs w:val="20"/>
                <w:lang w:val="es-CO" w:eastAsia="es-CO"/>
              </w:rPr>
            </w:pPr>
            <w:r w:rsidRPr="00064B95">
              <w:rPr>
                <w:color w:val="000000"/>
                <w:sz w:val="20"/>
                <w:szCs w:val="20"/>
                <w:lang w:val="es-CO" w:eastAsia="es-CO"/>
              </w:rPr>
              <w:t>Se terminó la elaboración del "Manual de especificaciones técnicas para sistemas de riego completos a nivel predial en Proyectos Integrales de Desarrollo Agropecuario y Rural con enfoque territorial"  y el documento técnico: "Modelo de gestión predial en el marco de la actualización de un distrito de adecuación de tierras".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1"/>
        </w:trPr>
        <w:tc>
          <w:tcPr>
            <w:tcW w:w="1545" w:type="dxa"/>
            <w:tcBorders>
              <w:top w:val="nil"/>
              <w:left w:val="single" w:sz="4" w:space="0" w:color="auto"/>
              <w:bottom w:val="single" w:sz="8" w:space="0" w:color="auto"/>
              <w:right w:val="single" w:sz="8" w:space="0" w:color="auto"/>
            </w:tcBorders>
          </w:tcPr>
          <w:p w:rsidR="00412626" w:rsidRPr="00064B95" w:rsidRDefault="00412626" w:rsidP="00064B95">
            <w:pPr>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Hectáreas con distritos de Adecuación de Tierras Construidos o ampliados en ejecución</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400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0 %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C963FF">
            <w:pPr>
              <w:jc w:val="both"/>
              <w:rPr>
                <w:color w:val="000000"/>
                <w:sz w:val="20"/>
                <w:szCs w:val="20"/>
                <w:lang w:val="es-CO" w:eastAsia="es-CO"/>
              </w:rPr>
            </w:pPr>
            <w:r w:rsidRPr="00064B95">
              <w:rPr>
                <w:color w:val="000000"/>
                <w:sz w:val="20"/>
                <w:szCs w:val="20"/>
                <w:lang w:val="es-CO" w:eastAsia="es-CO"/>
              </w:rPr>
              <w:t xml:space="preserve">En la  vigencia 2019 no se cumplió con este indicador, ya que no fue posible contar con proyectos de </w:t>
            </w:r>
            <w:proofErr w:type="spellStart"/>
            <w:r w:rsidRPr="00064B95">
              <w:rPr>
                <w:color w:val="000000"/>
                <w:sz w:val="20"/>
                <w:szCs w:val="20"/>
                <w:lang w:val="es-CO" w:eastAsia="es-CO"/>
              </w:rPr>
              <w:t>ADT</w:t>
            </w:r>
            <w:proofErr w:type="spellEnd"/>
            <w:r w:rsidRPr="00064B95">
              <w:rPr>
                <w:color w:val="000000"/>
                <w:sz w:val="20"/>
                <w:szCs w:val="20"/>
                <w:lang w:val="es-CO" w:eastAsia="es-CO"/>
              </w:rPr>
              <w:t xml:space="preserve"> que cumplieran los requisitos para pasar a la etapa de construcción, según lo establecido en los procedimientos de la agencia. Se solicitaron recursos para ejecutar este tipo de inversiones en la vigencia 2020.</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545" w:type="dxa"/>
            <w:tcBorders>
              <w:top w:val="nil"/>
              <w:left w:val="single" w:sz="4" w:space="0" w:color="auto"/>
              <w:bottom w:val="single" w:sz="8" w:space="0" w:color="auto"/>
              <w:right w:val="single" w:sz="8" w:space="0" w:color="auto"/>
            </w:tcBorders>
          </w:tcPr>
          <w:p w:rsidR="00412626" w:rsidRPr="00064B95" w:rsidRDefault="00412626" w:rsidP="00064B95">
            <w:pPr>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Hectáreas con distritos de Adecuación de Tierras construidos o ampliados terminadas</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120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C963FF">
            <w:pPr>
              <w:jc w:val="center"/>
              <w:rPr>
                <w:color w:val="000000"/>
                <w:sz w:val="20"/>
                <w:szCs w:val="20"/>
                <w:lang w:val="es-CO" w:eastAsia="es-CO"/>
              </w:rPr>
            </w:pPr>
            <w:r w:rsidRPr="00064B95">
              <w:rPr>
                <w:color w:val="000000"/>
                <w:sz w:val="20"/>
                <w:szCs w:val="20"/>
                <w:lang w:val="es-CO" w:eastAsia="es-CO"/>
              </w:rPr>
              <w:t>0 %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C963FF">
            <w:pPr>
              <w:jc w:val="both"/>
              <w:rPr>
                <w:color w:val="000000"/>
                <w:sz w:val="20"/>
                <w:szCs w:val="20"/>
                <w:lang w:val="es-CO" w:eastAsia="es-CO"/>
              </w:rPr>
            </w:pPr>
            <w:r w:rsidRPr="00064B95">
              <w:rPr>
                <w:color w:val="000000"/>
                <w:sz w:val="20"/>
                <w:szCs w:val="20"/>
                <w:lang w:val="es-CO" w:eastAsia="es-CO"/>
              </w:rPr>
              <w:t xml:space="preserve">En la  vigencia 2019 no se cumplió con este indicador, una vez se cuente con proyectos de </w:t>
            </w:r>
            <w:proofErr w:type="spellStart"/>
            <w:r w:rsidRPr="00064B95">
              <w:rPr>
                <w:color w:val="000000"/>
                <w:sz w:val="20"/>
                <w:szCs w:val="20"/>
                <w:lang w:val="es-CO" w:eastAsia="es-CO"/>
              </w:rPr>
              <w:t>ADT</w:t>
            </w:r>
            <w:proofErr w:type="spellEnd"/>
            <w:r w:rsidRPr="00064B95">
              <w:rPr>
                <w:color w:val="000000"/>
                <w:sz w:val="20"/>
                <w:szCs w:val="20"/>
                <w:lang w:val="es-CO" w:eastAsia="es-CO"/>
              </w:rPr>
              <w:t xml:space="preserve"> que cumplan los requisitos para pasar a la etapa de construcción, según lo establecido en los procedimientos de la agencia. </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9"/>
        </w:trPr>
        <w:tc>
          <w:tcPr>
            <w:tcW w:w="1545" w:type="dxa"/>
            <w:tcBorders>
              <w:top w:val="nil"/>
              <w:left w:val="single" w:sz="4" w:space="0" w:color="auto"/>
              <w:bottom w:val="single" w:sz="8" w:space="0" w:color="auto"/>
              <w:right w:val="single" w:sz="8" w:space="0" w:color="auto"/>
            </w:tcBorders>
          </w:tcPr>
          <w:p w:rsidR="00412626" w:rsidRPr="00064B95" w:rsidRDefault="006164A7" w:rsidP="001C21CE">
            <w:pPr>
              <w:jc w:val="both"/>
              <w:rPr>
                <w:color w:val="000000"/>
                <w:sz w:val="20"/>
                <w:szCs w:val="20"/>
                <w:lang w:val="es-CO" w:eastAsia="es-CO"/>
              </w:rPr>
            </w:pPr>
            <w:r>
              <w:rPr>
                <w:color w:val="000000"/>
                <w:sz w:val="20"/>
                <w:szCs w:val="20"/>
                <w:lang w:val="es-CO" w:eastAsia="es-CO"/>
              </w:rPr>
              <w:lastRenderedPageBreak/>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tcPr>
          <w:p w:rsidR="00412626" w:rsidRPr="00064B95" w:rsidRDefault="00412626" w:rsidP="001C21CE">
            <w:pPr>
              <w:jc w:val="both"/>
              <w:rPr>
                <w:color w:val="000000"/>
                <w:sz w:val="20"/>
                <w:szCs w:val="20"/>
                <w:lang w:val="es-CO" w:eastAsia="es-CO"/>
              </w:rPr>
            </w:pPr>
            <w:r w:rsidRPr="00064B95">
              <w:rPr>
                <w:color w:val="000000"/>
                <w:sz w:val="20"/>
                <w:szCs w:val="20"/>
                <w:lang w:val="es-CO" w:eastAsia="es-CO"/>
              </w:rPr>
              <w:t>Hectáreas con distritos de Adecuación de Tierras rehabilitados o complementados o modernizados</w:t>
            </w:r>
          </w:p>
        </w:tc>
        <w:tc>
          <w:tcPr>
            <w:tcW w:w="992" w:type="dxa"/>
            <w:tcBorders>
              <w:top w:val="nil"/>
              <w:left w:val="nil"/>
              <w:bottom w:val="single" w:sz="8" w:space="0" w:color="auto"/>
              <w:right w:val="single" w:sz="8" w:space="0" w:color="auto"/>
            </w:tcBorders>
            <w:shd w:val="clear" w:color="auto" w:fill="auto"/>
            <w:noWrap/>
            <w:vAlign w:val="center"/>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9.598</w:t>
            </w:r>
          </w:p>
        </w:tc>
        <w:tc>
          <w:tcPr>
            <w:tcW w:w="1247" w:type="dxa"/>
            <w:tcBorders>
              <w:top w:val="nil"/>
              <w:left w:val="nil"/>
              <w:bottom w:val="single" w:sz="8" w:space="0" w:color="auto"/>
              <w:right w:val="single" w:sz="8" w:space="0" w:color="auto"/>
            </w:tcBorders>
            <w:shd w:val="clear" w:color="auto" w:fill="auto"/>
            <w:noWrap/>
            <w:vAlign w:val="center"/>
          </w:tcPr>
          <w:p w:rsidR="00412626" w:rsidRPr="00064B95" w:rsidRDefault="00412626" w:rsidP="001C21CE">
            <w:pPr>
              <w:jc w:val="center"/>
              <w:rPr>
                <w:color w:val="000000"/>
                <w:sz w:val="20"/>
                <w:szCs w:val="20"/>
                <w:lang w:val="es-CO" w:eastAsia="es-CO"/>
              </w:rPr>
            </w:pPr>
            <w:r w:rsidRPr="00064B95">
              <w:rPr>
                <w:color w:val="000000"/>
                <w:sz w:val="20"/>
                <w:szCs w:val="20"/>
                <w:lang w:val="es-CO" w:eastAsia="es-CO"/>
              </w:rPr>
              <w:t>  82.33 %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tcPr>
          <w:p w:rsidR="00412626" w:rsidRPr="00064B95" w:rsidRDefault="00412626" w:rsidP="00C963FF">
            <w:pPr>
              <w:jc w:val="both"/>
              <w:rPr>
                <w:color w:val="000000"/>
                <w:sz w:val="20"/>
                <w:szCs w:val="20"/>
                <w:lang w:val="es-CO" w:eastAsia="es-CO"/>
              </w:rPr>
            </w:pPr>
            <w:r w:rsidRPr="00064B95">
              <w:rPr>
                <w:color w:val="000000"/>
                <w:sz w:val="20"/>
                <w:szCs w:val="20"/>
                <w:lang w:val="es-CO" w:eastAsia="es-CO"/>
              </w:rPr>
              <w:t>Para la vigencia 2019 se programó la rehabilitación de 21 distritos de pequeña, mediana y gran escala de propiedad de la ADR, con los cuales se beneficiarán 46.580 hectáreas y 13.151 familias, para lo cual se adjudicaron os procesos precontractuales LP – 05 de 2019 (Licitación Pública) y CM 03 de 2019 (Concurso de Méritos</w:t>
            </w:r>
            <w:r>
              <w:rPr>
                <w:color w:val="000000"/>
                <w:sz w:val="20"/>
                <w:szCs w:val="20"/>
                <w:lang w:val="es-CO" w:eastAsia="es-CO"/>
              </w:rPr>
              <w:t>)</w:t>
            </w:r>
            <w:r w:rsidRPr="00064B95">
              <w:rPr>
                <w:color w:val="000000"/>
                <w:sz w:val="20"/>
                <w:szCs w:val="20"/>
                <w:lang w:val="es-CO" w:eastAsia="es-CO"/>
              </w:rPr>
              <w:t xml:space="preserve">.  </w:t>
            </w:r>
            <w:r w:rsidRPr="00064B95">
              <w:rPr>
                <w:color w:val="000000"/>
                <w:sz w:val="20"/>
                <w:szCs w:val="20"/>
                <w:lang w:val="es-CO" w:eastAsia="es-CO"/>
              </w:rPr>
              <w:br/>
              <w:t xml:space="preserve"> Se reportan 2852 hectáreas rehabilitadas en  el Distrito Repelón (Atlántico) y  el avance de 5.050 ha que corresponden a la intervención de obra de rehabilitación de los distritos Montería-Mocarí, La Doctrina, La Esmeralda y Aguas Mohosas (Córdoba) y Río Frío (Magdalena); en el marco de contrato de obra N° 553 de 2019 suscrito con el Consorcio Distritos 2019, para un total de 7902 hectáreas rehabilitadas, complementadas o modernizadas.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0"/>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Hectáreas con distritos de Adecuación de Tierras rehabilitados o complementados o modernizados</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9.598</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82.33 %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C963FF">
            <w:pPr>
              <w:jc w:val="both"/>
              <w:rPr>
                <w:color w:val="000000"/>
                <w:sz w:val="20"/>
                <w:szCs w:val="20"/>
                <w:lang w:val="es-CO" w:eastAsia="es-CO"/>
              </w:rPr>
            </w:pPr>
            <w:r w:rsidRPr="00064B95">
              <w:rPr>
                <w:color w:val="000000"/>
                <w:sz w:val="20"/>
                <w:szCs w:val="20"/>
                <w:lang w:val="es-CO" w:eastAsia="es-CO"/>
              </w:rPr>
              <w:t>Para la vigencia 2019 se programó la rehabilitación de 21 distritos de pequeña, mediana y gran escala de propiedad de la ADR, con los cuales se beneficiarán 46.</w:t>
            </w:r>
            <w:r>
              <w:rPr>
                <w:color w:val="000000"/>
                <w:sz w:val="20"/>
                <w:szCs w:val="20"/>
                <w:lang w:val="es-CO" w:eastAsia="es-CO"/>
              </w:rPr>
              <w:t>580 hectáreas y 13.151 familias</w:t>
            </w:r>
            <w:r w:rsidRPr="00064B95">
              <w:rPr>
                <w:color w:val="000000"/>
                <w:sz w:val="20"/>
                <w:szCs w:val="20"/>
                <w:lang w:val="es-CO" w:eastAsia="es-CO"/>
              </w:rPr>
              <w:t xml:space="preserve">.  </w:t>
            </w:r>
            <w:r w:rsidRPr="00064B95">
              <w:rPr>
                <w:color w:val="000000"/>
                <w:sz w:val="20"/>
                <w:szCs w:val="20"/>
                <w:lang w:val="es-CO" w:eastAsia="es-CO"/>
              </w:rPr>
              <w:br/>
              <w:t xml:space="preserve"> Se reportan 2852 hectáreas rehabilitadas en  el Distrito Repelón (Atlántico) y  el avance de 5.050 ha que corresponden a la intervención de obra de rehabilitación de los distritos Montería-Mocarí, La Doctrina, La Esmeralda y Aguas Mohosas (Córdoba) y Río Frío (Magdalena</w:t>
            </w:r>
            <w:r>
              <w:rPr>
                <w:color w:val="000000"/>
                <w:sz w:val="20"/>
                <w:szCs w:val="20"/>
                <w:lang w:val="es-CO" w:eastAsia="es-CO"/>
              </w:rPr>
              <w:t>)</w:t>
            </w:r>
            <w:r w:rsidRPr="00064B95">
              <w:rPr>
                <w:color w:val="000000"/>
                <w:sz w:val="20"/>
                <w:szCs w:val="20"/>
                <w:lang w:val="es-CO" w:eastAsia="es-CO"/>
              </w:rPr>
              <w:t>, para un total de 7902 hectáreas rehabilitadas, complementadas o modernizadas.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lastRenderedPageBreak/>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Hectáreas con estudios de </w:t>
            </w:r>
            <w:proofErr w:type="spellStart"/>
            <w:r w:rsidRPr="00064B95">
              <w:rPr>
                <w:color w:val="000000"/>
                <w:sz w:val="20"/>
                <w:szCs w:val="20"/>
                <w:lang w:val="es-CO" w:eastAsia="es-CO"/>
              </w:rPr>
              <w:t>preinversión</w:t>
            </w:r>
            <w:proofErr w:type="spellEnd"/>
            <w:r w:rsidRPr="00064B95">
              <w:rPr>
                <w:color w:val="000000"/>
                <w:sz w:val="20"/>
                <w:szCs w:val="20"/>
                <w:lang w:val="es-CO" w:eastAsia="es-CO"/>
              </w:rPr>
              <w:t xml:space="preserve"> para adecuación de tierras elaborados y entregados</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400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227.75 %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Se terminó la etapa de identificación de tres proyectos de adecuación de tierras: Zona Bananera (488 has); </w:t>
            </w:r>
            <w:proofErr w:type="spellStart"/>
            <w:r w:rsidRPr="00064B95">
              <w:rPr>
                <w:color w:val="000000"/>
                <w:sz w:val="20"/>
                <w:szCs w:val="20"/>
                <w:lang w:val="es-CO" w:eastAsia="es-CO"/>
              </w:rPr>
              <w:t>Capitanejo</w:t>
            </w:r>
            <w:proofErr w:type="spellEnd"/>
            <w:r w:rsidRPr="00064B95">
              <w:rPr>
                <w:color w:val="000000"/>
                <w:sz w:val="20"/>
                <w:szCs w:val="20"/>
                <w:lang w:val="es-CO" w:eastAsia="es-CO"/>
              </w:rPr>
              <w:t xml:space="preserve"> (250 has) y </w:t>
            </w:r>
            <w:proofErr w:type="spellStart"/>
            <w:r w:rsidRPr="00064B95">
              <w:rPr>
                <w:color w:val="000000"/>
                <w:sz w:val="20"/>
                <w:szCs w:val="20"/>
                <w:lang w:val="es-CO" w:eastAsia="es-CO"/>
              </w:rPr>
              <w:t>Chipaque</w:t>
            </w:r>
            <w:proofErr w:type="spellEnd"/>
            <w:r w:rsidRPr="00064B95">
              <w:rPr>
                <w:color w:val="000000"/>
                <w:sz w:val="20"/>
                <w:szCs w:val="20"/>
                <w:lang w:val="es-CO" w:eastAsia="es-CO"/>
              </w:rPr>
              <w:t xml:space="preserve"> (173 has), alcanzando 911  hectáreas con estudios de </w:t>
            </w:r>
            <w:proofErr w:type="spellStart"/>
            <w:r w:rsidRPr="00064B95">
              <w:rPr>
                <w:color w:val="000000"/>
                <w:sz w:val="20"/>
                <w:szCs w:val="20"/>
                <w:lang w:val="es-CO" w:eastAsia="es-CO"/>
              </w:rPr>
              <w:t>preinversión</w:t>
            </w:r>
            <w:proofErr w:type="spellEnd"/>
            <w:r w:rsidRPr="00064B95">
              <w:rPr>
                <w:color w:val="000000"/>
                <w:sz w:val="20"/>
                <w:szCs w:val="20"/>
                <w:lang w:val="es-CO" w:eastAsia="es-CO"/>
              </w:rPr>
              <w:t xml:space="preserve"> para adecuación de tierras elaborados y entregados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3"/>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Hectáreas con estudios de </w:t>
            </w:r>
            <w:proofErr w:type="spellStart"/>
            <w:r w:rsidRPr="00064B95">
              <w:rPr>
                <w:color w:val="000000"/>
                <w:sz w:val="20"/>
                <w:szCs w:val="20"/>
                <w:lang w:val="es-CO" w:eastAsia="es-CO"/>
              </w:rPr>
              <w:t>preinversión</w:t>
            </w:r>
            <w:proofErr w:type="spellEnd"/>
            <w:r w:rsidRPr="00064B95">
              <w:rPr>
                <w:color w:val="000000"/>
                <w:sz w:val="20"/>
                <w:szCs w:val="20"/>
                <w:lang w:val="es-CO" w:eastAsia="es-CO"/>
              </w:rPr>
              <w:t xml:space="preserve"> para adecuación de tierras en proceso de elaboración o actualización</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4.423</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130.64 %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En ejecución los contratos 465 y 481 de 2019, cuyo objeto es la ejecución de estudios de </w:t>
            </w:r>
            <w:proofErr w:type="spellStart"/>
            <w:r w:rsidRPr="00064B95">
              <w:rPr>
                <w:color w:val="000000"/>
                <w:sz w:val="20"/>
                <w:szCs w:val="20"/>
                <w:lang w:val="es-CO" w:eastAsia="es-CO"/>
              </w:rPr>
              <w:t>preinversión</w:t>
            </w:r>
            <w:proofErr w:type="spellEnd"/>
            <w:r w:rsidRPr="00064B95">
              <w:rPr>
                <w:color w:val="000000"/>
                <w:sz w:val="20"/>
                <w:szCs w:val="20"/>
                <w:lang w:val="es-CO" w:eastAsia="es-CO"/>
              </w:rPr>
              <w:t xml:space="preserve"> de adecuación de tierras, con los cuales se cubre un área de estudio de 5.778 hectáreas. *Contrato 465 de 2019: Ejecución de estudios y diseños para rehabilitación y modernización de los Distritos de Pequeña Escala Bella Vista - El Puente (Huila), Guayabal (Boyacá) y </w:t>
            </w:r>
            <w:proofErr w:type="spellStart"/>
            <w:r w:rsidRPr="00064B95">
              <w:rPr>
                <w:color w:val="000000"/>
                <w:sz w:val="20"/>
                <w:szCs w:val="20"/>
                <w:lang w:val="es-CO" w:eastAsia="es-CO"/>
              </w:rPr>
              <w:t>Pílamo</w:t>
            </w:r>
            <w:proofErr w:type="spellEnd"/>
            <w:r w:rsidRPr="00064B95">
              <w:rPr>
                <w:color w:val="000000"/>
                <w:sz w:val="20"/>
                <w:szCs w:val="20"/>
                <w:lang w:val="es-CO" w:eastAsia="es-CO"/>
              </w:rPr>
              <w:t xml:space="preserve"> (Cauca). Valor: $714.736.002 • Contrato 481 de 2019: Ejecución de 17 identificaciones de proyectos de adecuación de tierras de pequeña escala. Valor: $1.173.173.400 Se continúa con la ejecución del Contrato 481-2019, con el Consorcio Distritos Nacionales – ADR, para la ejecución de 17 identificaciones de proyectos de adecuación de tierras de pequeña escala, con un área de estudio de 5,778 has, con un porcentaje de avance del 13%, de acuerdo con la presentación de informes.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545" w:type="dxa"/>
            <w:tcBorders>
              <w:top w:val="nil"/>
              <w:left w:val="single" w:sz="4" w:space="0" w:color="auto"/>
              <w:bottom w:val="single" w:sz="8" w:space="0" w:color="auto"/>
              <w:right w:val="single" w:sz="8" w:space="0" w:color="auto"/>
            </w:tcBorders>
          </w:tcPr>
          <w:p w:rsidR="00412626" w:rsidRPr="00064B95" w:rsidRDefault="006164A7" w:rsidP="00507AAF">
            <w:pPr>
              <w:jc w:val="both"/>
              <w:rPr>
                <w:color w:val="000000"/>
                <w:sz w:val="20"/>
                <w:szCs w:val="20"/>
                <w:lang w:val="es-CO" w:eastAsia="es-CO"/>
              </w:rPr>
            </w:pPr>
            <w:r>
              <w:rPr>
                <w:color w:val="000000"/>
                <w:sz w:val="20"/>
                <w:szCs w:val="20"/>
                <w:lang w:val="es-CO" w:eastAsia="es-CO"/>
              </w:rPr>
              <w:t xml:space="preserve">Prestación y apoyo al servicio público de adecuación de tierras Prestación y apoyo al servicio público de adecuación </w:t>
            </w:r>
            <w:r>
              <w:rPr>
                <w:color w:val="000000"/>
                <w:sz w:val="20"/>
                <w:szCs w:val="20"/>
                <w:lang w:val="es-CO" w:eastAsia="es-CO"/>
              </w:rPr>
              <w:lastRenderedPageBreak/>
              <w:t>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tcPr>
          <w:p w:rsidR="00412626" w:rsidRPr="00064B95" w:rsidRDefault="00412626" w:rsidP="00507AAF">
            <w:pPr>
              <w:jc w:val="both"/>
              <w:rPr>
                <w:color w:val="000000"/>
                <w:sz w:val="20"/>
                <w:szCs w:val="20"/>
                <w:lang w:val="es-CO" w:eastAsia="es-CO"/>
              </w:rPr>
            </w:pPr>
            <w:r w:rsidRPr="00064B95">
              <w:rPr>
                <w:color w:val="000000"/>
                <w:sz w:val="20"/>
                <w:szCs w:val="20"/>
                <w:lang w:val="es-CO" w:eastAsia="es-CO"/>
              </w:rPr>
              <w:lastRenderedPageBreak/>
              <w:t>Inventario predial de distritos y proyectos de adecuación de tierras realizados</w:t>
            </w:r>
          </w:p>
        </w:tc>
        <w:tc>
          <w:tcPr>
            <w:tcW w:w="992" w:type="dxa"/>
            <w:tcBorders>
              <w:top w:val="nil"/>
              <w:left w:val="nil"/>
              <w:bottom w:val="single" w:sz="8" w:space="0" w:color="auto"/>
              <w:right w:val="single" w:sz="8" w:space="0" w:color="auto"/>
            </w:tcBorders>
            <w:shd w:val="clear" w:color="auto" w:fill="auto"/>
            <w:noWrap/>
            <w:vAlign w:val="center"/>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5</w:t>
            </w:r>
          </w:p>
        </w:tc>
        <w:tc>
          <w:tcPr>
            <w:tcW w:w="1247" w:type="dxa"/>
            <w:tcBorders>
              <w:top w:val="nil"/>
              <w:left w:val="nil"/>
              <w:bottom w:val="single" w:sz="8" w:space="0" w:color="auto"/>
              <w:right w:val="single" w:sz="8" w:space="0" w:color="auto"/>
            </w:tcBorders>
            <w:shd w:val="clear" w:color="auto" w:fill="auto"/>
            <w:noWrap/>
            <w:vAlign w:val="center"/>
          </w:tcPr>
          <w:p w:rsidR="00412626" w:rsidRPr="00064B95" w:rsidRDefault="00412626" w:rsidP="00507AAF">
            <w:pPr>
              <w:jc w:val="center"/>
              <w:rPr>
                <w:color w:val="000000"/>
                <w:sz w:val="20"/>
                <w:szCs w:val="20"/>
                <w:lang w:val="es-CO" w:eastAsia="es-CO"/>
              </w:rPr>
            </w:pPr>
            <w:r w:rsidRPr="00064B95">
              <w:rPr>
                <w:color w:val="000000"/>
                <w:sz w:val="20"/>
                <w:szCs w:val="20"/>
                <w:lang w:val="es-CO" w:eastAsia="es-CO"/>
              </w:rPr>
              <w:t>  60 %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tcPr>
          <w:p w:rsidR="00412626" w:rsidRPr="00064B95" w:rsidRDefault="00412626" w:rsidP="00507AAF">
            <w:pPr>
              <w:jc w:val="both"/>
              <w:rPr>
                <w:color w:val="000000"/>
                <w:sz w:val="20"/>
                <w:szCs w:val="20"/>
                <w:lang w:val="es-CO" w:eastAsia="es-CO"/>
              </w:rPr>
            </w:pPr>
            <w:r w:rsidRPr="00064B95">
              <w:rPr>
                <w:color w:val="000000"/>
                <w:sz w:val="20"/>
                <w:szCs w:val="20"/>
                <w:lang w:val="es-CO" w:eastAsia="es-CO"/>
              </w:rPr>
              <w:t>Visita de campo al Distrito La Doctrina, en el cual se realizó el reconocimiento de predios al interior del Distrito, alcanzando un 100% de actualización de la información predial. Se ha realizado además los inventarios en RUT y Tesalia - Paicol. Alcanzando el inventario  predial de 3 distritos de adecuación de tierras.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9"/>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rPr>
                <w:color w:val="000000"/>
                <w:sz w:val="20"/>
                <w:szCs w:val="20"/>
                <w:lang w:val="es-CO" w:eastAsia="es-CO"/>
              </w:rPr>
            </w:pPr>
            <w:r>
              <w:rPr>
                <w:color w:val="000000"/>
                <w:sz w:val="20"/>
                <w:szCs w:val="20"/>
                <w:lang w:val="es-CO" w:eastAsia="es-CO"/>
              </w:rPr>
              <w:lastRenderedPageBreak/>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rPr>
                <w:color w:val="000000"/>
                <w:sz w:val="20"/>
                <w:szCs w:val="20"/>
                <w:lang w:val="es-CO" w:eastAsia="es-CO"/>
              </w:rPr>
            </w:pPr>
            <w:r w:rsidRPr="00064B95">
              <w:rPr>
                <w:color w:val="000000"/>
                <w:sz w:val="20"/>
                <w:szCs w:val="20"/>
                <w:lang w:val="es-CO" w:eastAsia="es-CO"/>
              </w:rPr>
              <w:t>Liquidaciones de estado de cuenta de cartera de recuperación de inversión</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2.000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51.4 %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Se realizaron 1028 liquidaciones de los estados de cuentas de forma manual que sumadas a 1.295 predios con saldos en cero o saldos a favor, totalizan 2.323 predios, en las asociaciones de: </w:t>
            </w:r>
            <w:proofErr w:type="spellStart"/>
            <w:r w:rsidRPr="00064B95">
              <w:rPr>
                <w:color w:val="000000"/>
                <w:sz w:val="20"/>
                <w:szCs w:val="20"/>
                <w:lang w:val="es-CO" w:eastAsia="es-CO"/>
              </w:rPr>
              <w:t>Asochaquira</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Asocherela</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Asodatil</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Asodisriego</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Asohatollano</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Asolafon</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Asoporvenir</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Asosiscunci</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Asosugramal</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Asotobal</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Asovenudites</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Asozulia</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Asudra</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Asoespinalito</w:t>
            </w:r>
            <w:proofErr w:type="spellEnd"/>
            <w:r w:rsidRPr="00064B95">
              <w:rPr>
                <w:color w:val="000000"/>
                <w:sz w:val="20"/>
                <w:szCs w:val="20"/>
                <w:lang w:val="es-CO" w:eastAsia="es-CO"/>
              </w:rPr>
              <w:t xml:space="preserve"> Y </w:t>
            </w:r>
            <w:proofErr w:type="spellStart"/>
            <w:r w:rsidRPr="00064B95">
              <w:rPr>
                <w:color w:val="000000"/>
                <w:sz w:val="20"/>
                <w:szCs w:val="20"/>
                <w:lang w:val="es-CO" w:eastAsia="es-CO"/>
              </w:rPr>
              <w:t>Asolantigua</w:t>
            </w:r>
            <w:proofErr w:type="spellEnd"/>
            <w:r w:rsidRPr="00064B95">
              <w:rPr>
                <w:color w:val="000000"/>
                <w:sz w:val="20"/>
                <w:szCs w:val="20"/>
                <w:lang w:val="es-CO" w:eastAsia="es-CO"/>
              </w:rPr>
              <w:t>.</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Número de usuarios actualizados en el registro general de usuarios - </w:t>
            </w:r>
            <w:proofErr w:type="spellStart"/>
            <w:r w:rsidRPr="00064B95">
              <w:rPr>
                <w:color w:val="000000"/>
                <w:sz w:val="20"/>
                <w:szCs w:val="20"/>
                <w:lang w:val="es-CO" w:eastAsia="es-CO"/>
              </w:rPr>
              <w:t>RGU</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700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0 %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2370B4">
            <w:pPr>
              <w:jc w:val="both"/>
              <w:rPr>
                <w:color w:val="000000"/>
                <w:sz w:val="20"/>
                <w:szCs w:val="20"/>
                <w:lang w:val="es-CO" w:eastAsia="es-CO"/>
              </w:rPr>
            </w:pPr>
            <w:r w:rsidRPr="00064B95">
              <w:rPr>
                <w:color w:val="000000"/>
                <w:sz w:val="20"/>
                <w:szCs w:val="20"/>
                <w:lang w:val="es-CO" w:eastAsia="es-CO"/>
              </w:rPr>
              <w:t xml:space="preserve">En el cuarto trimestre se  realizó consolidación y entrega de la </w:t>
            </w:r>
            <w:proofErr w:type="spellStart"/>
            <w:r w:rsidRPr="00064B95">
              <w:rPr>
                <w:color w:val="000000"/>
                <w:sz w:val="20"/>
                <w:szCs w:val="20"/>
                <w:lang w:val="es-CO" w:eastAsia="es-CO"/>
              </w:rPr>
              <w:t>Geodata</w:t>
            </w:r>
            <w:proofErr w:type="spellEnd"/>
            <w:r w:rsidRPr="00064B95">
              <w:rPr>
                <w:color w:val="000000"/>
                <w:sz w:val="20"/>
                <w:szCs w:val="20"/>
                <w:lang w:val="es-CO" w:eastAsia="es-CO"/>
              </w:rPr>
              <w:t xml:space="preserve"> Base y el archivo plano con la actualización predial y de usuarios del Distrito La Doctrina. Además se elaboraron 674 fichas prediales, en la parte técnica - catastral, lo cual permitirá el inicio del diligenciamiento de la ficha de viabilidad jurídica y se avaló el formato del concepto jurídico y técnico para la finalización del proceso de actualización </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Número proyectos de adecuación de tierras revisados</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24</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87.5 %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2370B4">
            <w:pPr>
              <w:jc w:val="both"/>
              <w:rPr>
                <w:color w:val="000000"/>
                <w:sz w:val="20"/>
                <w:szCs w:val="20"/>
                <w:lang w:val="es-CO" w:eastAsia="es-CO"/>
              </w:rPr>
            </w:pPr>
            <w:r w:rsidRPr="00064B95">
              <w:rPr>
                <w:color w:val="000000"/>
                <w:sz w:val="20"/>
                <w:szCs w:val="20"/>
                <w:lang w:val="es-CO" w:eastAsia="es-CO"/>
              </w:rPr>
              <w:t>En la vigencia se alcanzó la revisión de</w:t>
            </w:r>
            <w:r>
              <w:rPr>
                <w:color w:val="000000"/>
                <w:sz w:val="20"/>
                <w:szCs w:val="20"/>
                <w:lang w:val="es-CO" w:eastAsia="es-CO"/>
              </w:rPr>
              <w:t xml:space="preserve"> 21 proyectos, l</w:t>
            </w:r>
            <w:r w:rsidRPr="00064B95">
              <w:rPr>
                <w:color w:val="000000"/>
                <w:sz w:val="20"/>
                <w:szCs w:val="20"/>
                <w:lang w:val="es-CO" w:eastAsia="es-CO"/>
              </w:rPr>
              <w:t>os cuales son:</w:t>
            </w:r>
            <w:r>
              <w:rPr>
                <w:color w:val="000000"/>
                <w:sz w:val="20"/>
                <w:szCs w:val="20"/>
                <w:lang w:val="es-CO" w:eastAsia="es-CO"/>
              </w:rPr>
              <w:t xml:space="preserve"> </w:t>
            </w:r>
            <w:r w:rsidRPr="00064B95">
              <w:rPr>
                <w:color w:val="000000"/>
                <w:sz w:val="20"/>
                <w:szCs w:val="20"/>
                <w:lang w:val="es-CO" w:eastAsia="es-CO"/>
              </w:rPr>
              <w:t xml:space="preserve">el proyecto </w:t>
            </w:r>
            <w:proofErr w:type="spellStart"/>
            <w:r w:rsidRPr="00064B95">
              <w:rPr>
                <w:color w:val="000000"/>
                <w:sz w:val="20"/>
                <w:szCs w:val="20"/>
                <w:lang w:val="es-CO" w:eastAsia="es-CO"/>
              </w:rPr>
              <w:t>Suse</w:t>
            </w:r>
            <w:proofErr w:type="spellEnd"/>
            <w:r w:rsidRPr="00064B95">
              <w:rPr>
                <w:color w:val="000000"/>
                <w:sz w:val="20"/>
                <w:szCs w:val="20"/>
                <w:lang w:val="es-CO" w:eastAsia="es-CO"/>
              </w:rPr>
              <w:t xml:space="preserve"> de Aquitania (Boyacá), San Isidro (</w:t>
            </w:r>
            <w:proofErr w:type="spellStart"/>
            <w:r w:rsidRPr="00064B95">
              <w:rPr>
                <w:color w:val="000000"/>
                <w:sz w:val="20"/>
                <w:szCs w:val="20"/>
                <w:lang w:val="es-CO" w:eastAsia="es-CO"/>
              </w:rPr>
              <w:t>ANUC</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Casivegat</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Tibú</w:t>
            </w:r>
            <w:proofErr w:type="spellEnd"/>
            <w:r w:rsidRPr="00064B95">
              <w:rPr>
                <w:color w:val="000000"/>
                <w:sz w:val="20"/>
                <w:szCs w:val="20"/>
                <w:lang w:val="es-CO" w:eastAsia="es-CO"/>
              </w:rPr>
              <w:t xml:space="preserve"> - Norte Santander), Tablones (</w:t>
            </w:r>
            <w:proofErr w:type="spellStart"/>
            <w:r w:rsidRPr="00064B95">
              <w:rPr>
                <w:color w:val="000000"/>
                <w:sz w:val="20"/>
                <w:szCs w:val="20"/>
                <w:lang w:val="es-CO" w:eastAsia="es-CO"/>
              </w:rPr>
              <w:t>Iles</w:t>
            </w:r>
            <w:proofErr w:type="spellEnd"/>
            <w:r w:rsidRPr="00064B95">
              <w:rPr>
                <w:color w:val="000000"/>
                <w:sz w:val="20"/>
                <w:szCs w:val="20"/>
                <w:lang w:val="es-CO" w:eastAsia="es-CO"/>
              </w:rPr>
              <w:t xml:space="preserve"> -Nariño), </w:t>
            </w:r>
            <w:proofErr w:type="spellStart"/>
            <w:r w:rsidRPr="00064B95">
              <w:rPr>
                <w:color w:val="000000"/>
                <w:sz w:val="20"/>
                <w:szCs w:val="20"/>
                <w:lang w:val="es-CO" w:eastAsia="es-CO"/>
              </w:rPr>
              <w:t>Oicatá</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Oicatá</w:t>
            </w:r>
            <w:proofErr w:type="spellEnd"/>
            <w:r w:rsidRPr="00064B95">
              <w:rPr>
                <w:color w:val="000000"/>
                <w:sz w:val="20"/>
                <w:szCs w:val="20"/>
                <w:lang w:val="es-CO" w:eastAsia="es-CO"/>
              </w:rPr>
              <w:t xml:space="preserve"> - Boyacá), Floresta (San Mateo - Boyacá); </w:t>
            </w:r>
            <w:proofErr w:type="spellStart"/>
            <w:r w:rsidRPr="00064B95">
              <w:rPr>
                <w:color w:val="000000"/>
                <w:sz w:val="20"/>
                <w:szCs w:val="20"/>
                <w:lang w:val="es-CO" w:eastAsia="es-CO"/>
              </w:rPr>
              <w:t>Pantocristo</w:t>
            </w:r>
            <w:proofErr w:type="spellEnd"/>
            <w:r w:rsidRPr="00064B95">
              <w:rPr>
                <w:color w:val="000000"/>
                <w:sz w:val="20"/>
                <w:szCs w:val="20"/>
                <w:lang w:val="es-CO" w:eastAsia="es-CO"/>
              </w:rPr>
              <w:t xml:space="preserve"> (Tota - Boyacá); La Florida (Zambrano - Bolívar),Chinita (Cundinamarca), Tablones y Fuentes San Francisco (Nariño); </w:t>
            </w:r>
            <w:proofErr w:type="spellStart"/>
            <w:r w:rsidRPr="00064B95">
              <w:rPr>
                <w:color w:val="000000"/>
                <w:sz w:val="20"/>
                <w:szCs w:val="20"/>
                <w:lang w:val="es-CO" w:eastAsia="es-CO"/>
              </w:rPr>
              <w:t>Disriegoicata</w:t>
            </w:r>
            <w:proofErr w:type="spellEnd"/>
            <w:r w:rsidRPr="00064B95">
              <w:rPr>
                <w:color w:val="000000"/>
                <w:sz w:val="20"/>
                <w:szCs w:val="20"/>
                <w:lang w:val="es-CO" w:eastAsia="es-CO"/>
              </w:rPr>
              <w:t xml:space="preserve">, </w:t>
            </w:r>
            <w:proofErr w:type="spellStart"/>
            <w:r w:rsidRPr="00064B95">
              <w:rPr>
                <w:color w:val="000000"/>
                <w:sz w:val="20"/>
                <w:szCs w:val="20"/>
                <w:lang w:val="es-CO" w:eastAsia="es-CO"/>
              </w:rPr>
              <w:t>Pantocristo</w:t>
            </w:r>
            <w:proofErr w:type="spellEnd"/>
            <w:r w:rsidRPr="00064B95">
              <w:rPr>
                <w:color w:val="000000"/>
                <w:sz w:val="20"/>
                <w:szCs w:val="20"/>
                <w:lang w:val="es-CO" w:eastAsia="es-CO"/>
              </w:rPr>
              <w:t xml:space="preserve"> y La Puerta (Boyacá); Caño Negro, Mala </w:t>
            </w:r>
            <w:proofErr w:type="spellStart"/>
            <w:r w:rsidRPr="00064B95">
              <w:rPr>
                <w:color w:val="000000"/>
                <w:sz w:val="20"/>
                <w:szCs w:val="20"/>
                <w:lang w:val="es-CO" w:eastAsia="es-CO"/>
              </w:rPr>
              <w:t>Nocha</w:t>
            </w:r>
            <w:proofErr w:type="spellEnd"/>
            <w:r w:rsidRPr="00064B95">
              <w:rPr>
                <w:color w:val="000000"/>
                <w:sz w:val="20"/>
                <w:szCs w:val="20"/>
                <w:lang w:val="es-CO" w:eastAsia="es-CO"/>
              </w:rPr>
              <w:t xml:space="preserve">, Bonito Negro, Piedra Azul (Bolívar), </w:t>
            </w:r>
            <w:proofErr w:type="spellStart"/>
            <w:r w:rsidRPr="00064B95">
              <w:rPr>
                <w:color w:val="000000"/>
                <w:sz w:val="20"/>
                <w:szCs w:val="20"/>
                <w:lang w:val="es-CO" w:eastAsia="es-CO"/>
              </w:rPr>
              <w:t>Asolaureles</w:t>
            </w:r>
            <w:proofErr w:type="spellEnd"/>
            <w:r w:rsidRPr="00064B95">
              <w:rPr>
                <w:color w:val="000000"/>
                <w:sz w:val="20"/>
                <w:szCs w:val="20"/>
                <w:lang w:val="es-CO" w:eastAsia="es-CO"/>
              </w:rPr>
              <w:t xml:space="preserve"> (Cundinamarca), </w:t>
            </w:r>
            <w:proofErr w:type="spellStart"/>
            <w:r w:rsidRPr="00064B95">
              <w:rPr>
                <w:color w:val="000000"/>
                <w:sz w:val="20"/>
                <w:szCs w:val="20"/>
                <w:lang w:val="es-CO" w:eastAsia="es-CO"/>
              </w:rPr>
              <w:t>Asosanrafael</w:t>
            </w:r>
            <w:proofErr w:type="spellEnd"/>
            <w:r w:rsidRPr="00064B95">
              <w:rPr>
                <w:color w:val="000000"/>
                <w:sz w:val="20"/>
                <w:szCs w:val="20"/>
                <w:lang w:val="es-CO" w:eastAsia="es-CO"/>
              </w:rPr>
              <w:t xml:space="preserve"> (Ovejas, Sucre), Proyecto </w:t>
            </w:r>
            <w:proofErr w:type="spellStart"/>
            <w:r w:rsidRPr="00064B95">
              <w:rPr>
                <w:color w:val="000000"/>
                <w:sz w:val="20"/>
                <w:szCs w:val="20"/>
                <w:lang w:val="es-CO" w:eastAsia="es-CO"/>
              </w:rPr>
              <w:t>Aso</w:t>
            </w:r>
            <w:r>
              <w:rPr>
                <w:color w:val="000000"/>
                <w:sz w:val="20"/>
                <w:szCs w:val="20"/>
                <w:lang w:val="es-CO" w:eastAsia="es-CO"/>
              </w:rPr>
              <w:t>carco</w:t>
            </w:r>
            <w:proofErr w:type="spellEnd"/>
            <w:r>
              <w:rPr>
                <w:color w:val="000000"/>
                <w:sz w:val="20"/>
                <w:szCs w:val="20"/>
                <w:lang w:val="es-CO" w:eastAsia="es-CO"/>
              </w:rPr>
              <w:t xml:space="preserve"> (Municipio Puerto Triunfo</w:t>
            </w:r>
            <w:r w:rsidRPr="00064B95">
              <w:rPr>
                <w:color w:val="000000"/>
                <w:sz w:val="20"/>
                <w:szCs w:val="20"/>
                <w:lang w:val="es-CO" w:eastAsia="es-CO"/>
              </w:rPr>
              <w:t xml:space="preserve">) y   Proyecto La </w:t>
            </w:r>
            <w:r>
              <w:rPr>
                <w:color w:val="000000"/>
                <w:sz w:val="20"/>
                <w:szCs w:val="20"/>
                <w:lang w:val="es-CO" w:eastAsia="es-CO"/>
              </w:rPr>
              <w:t>Sierrita (Municipio de Giraldo</w:t>
            </w:r>
            <w:r w:rsidRPr="00064B95">
              <w:rPr>
                <w:color w:val="000000"/>
                <w:sz w:val="20"/>
                <w:szCs w:val="20"/>
                <w:lang w:val="es-CO" w:eastAsia="es-CO"/>
              </w:rPr>
              <w:t>)</w:t>
            </w:r>
            <w:r>
              <w:rPr>
                <w:color w:val="000000"/>
                <w:sz w:val="20"/>
                <w:szCs w:val="20"/>
                <w:lang w:val="es-CO" w:eastAsia="es-CO"/>
              </w:rPr>
              <w:t>.</w:t>
            </w:r>
            <w:r w:rsidRPr="00064B95">
              <w:rPr>
                <w:color w:val="000000"/>
                <w:sz w:val="20"/>
                <w:szCs w:val="20"/>
                <w:lang w:val="es-CO" w:eastAsia="es-CO"/>
              </w:rPr>
              <w:t xml:space="preserve"> </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545" w:type="dxa"/>
            <w:tcBorders>
              <w:top w:val="nil"/>
              <w:left w:val="single" w:sz="4" w:space="0" w:color="auto"/>
              <w:bottom w:val="single" w:sz="8" w:space="0" w:color="auto"/>
              <w:right w:val="single" w:sz="8" w:space="0" w:color="auto"/>
            </w:tcBorders>
            <w:vAlign w:val="center"/>
          </w:tcPr>
          <w:p w:rsidR="00412626" w:rsidRPr="00064B95" w:rsidRDefault="006164A7" w:rsidP="00487E96">
            <w:pPr>
              <w:rPr>
                <w:color w:val="000000"/>
                <w:sz w:val="20"/>
                <w:szCs w:val="20"/>
                <w:lang w:val="es-CO" w:eastAsia="es-CO"/>
              </w:rPr>
            </w:pPr>
            <w:r>
              <w:rPr>
                <w:color w:val="000000"/>
                <w:sz w:val="20"/>
                <w:szCs w:val="20"/>
                <w:lang w:val="es-CO" w:eastAsia="es-CO"/>
              </w:rPr>
              <w:lastRenderedPageBreak/>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tcPr>
          <w:p w:rsidR="00412626" w:rsidRPr="00064B95" w:rsidRDefault="00412626" w:rsidP="00487E96">
            <w:pPr>
              <w:jc w:val="center"/>
              <w:rPr>
                <w:color w:val="000000"/>
                <w:sz w:val="20"/>
                <w:szCs w:val="20"/>
                <w:lang w:val="es-CO" w:eastAsia="es-CO"/>
              </w:rPr>
            </w:pPr>
            <w:r w:rsidRPr="00064B95">
              <w:rPr>
                <w:color w:val="000000"/>
                <w:sz w:val="20"/>
                <w:szCs w:val="20"/>
                <w:lang w:val="es-CO" w:eastAsia="es-CO"/>
              </w:rPr>
              <w:t>Proyectos Estratégicos de Distritos de adecuación de tierras con servicio de Administración, Operación y Conservación</w:t>
            </w:r>
          </w:p>
        </w:tc>
        <w:tc>
          <w:tcPr>
            <w:tcW w:w="992" w:type="dxa"/>
            <w:tcBorders>
              <w:top w:val="nil"/>
              <w:left w:val="nil"/>
              <w:bottom w:val="single" w:sz="8" w:space="0" w:color="auto"/>
              <w:right w:val="single" w:sz="8" w:space="0" w:color="auto"/>
            </w:tcBorders>
            <w:shd w:val="clear" w:color="auto" w:fill="auto"/>
            <w:noWrap/>
            <w:vAlign w:val="center"/>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3</w:t>
            </w:r>
          </w:p>
        </w:tc>
        <w:tc>
          <w:tcPr>
            <w:tcW w:w="1247" w:type="dxa"/>
            <w:tcBorders>
              <w:top w:val="nil"/>
              <w:left w:val="nil"/>
              <w:bottom w:val="single" w:sz="8" w:space="0" w:color="auto"/>
              <w:right w:val="single" w:sz="8" w:space="0" w:color="auto"/>
            </w:tcBorders>
            <w:shd w:val="clear" w:color="auto" w:fill="auto"/>
            <w:noWrap/>
            <w:vAlign w:val="center"/>
          </w:tcPr>
          <w:p w:rsidR="00412626" w:rsidRPr="00064B95" w:rsidRDefault="00412626" w:rsidP="00507AAF">
            <w:pPr>
              <w:jc w:val="center"/>
              <w:rPr>
                <w:color w:val="000000"/>
                <w:sz w:val="20"/>
                <w:szCs w:val="20"/>
                <w:lang w:val="es-CO" w:eastAsia="es-CO"/>
              </w:rPr>
            </w:pPr>
            <w:r w:rsidRPr="00064B95">
              <w:rPr>
                <w:color w:val="000000"/>
                <w:sz w:val="20"/>
                <w:szCs w:val="20"/>
                <w:lang w:val="es-CO" w:eastAsia="es-CO"/>
              </w:rPr>
              <w:t>  100 %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tcPr>
          <w:p w:rsidR="00412626" w:rsidRPr="00064B95" w:rsidRDefault="00412626" w:rsidP="00507AAF">
            <w:pPr>
              <w:jc w:val="both"/>
              <w:rPr>
                <w:color w:val="000000"/>
                <w:sz w:val="20"/>
                <w:szCs w:val="20"/>
                <w:lang w:val="es-CO" w:eastAsia="es-CO"/>
              </w:rPr>
            </w:pPr>
            <w:r w:rsidRPr="00064B95">
              <w:rPr>
                <w:color w:val="000000"/>
                <w:sz w:val="20"/>
                <w:szCs w:val="20"/>
                <w:lang w:val="es-CO" w:eastAsia="es-CO"/>
              </w:rPr>
              <w:t xml:space="preserve">La ADR continúa haciendo actividades de administración, operación y mantenimiento de los 3 Proyectos Estratégicos, a través de la ejecución de los siguientes contratos: Proyecto Río </w:t>
            </w:r>
            <w:proofErr w:type="spellStart"/>
            <w:r w:rsidRPr="00064B95">
              <w:rPr>
                <w:color w:val="000000"/>
                <w:sz w:val="20"/>
                <w:szCs w:val="20"/>
                <w:lang w:val="es-CO" w:eastAsia="es-CO"/>
              </w:rPr>
              <w:t>Rancheria</w:t>
            </w:r>
            <w:proofErr w:type="spellEnd"/>
            <w:r w:rsidRPr="00064B95">
              <w:rPr>
                <w:color w:val="000000"/>
                <w:sz w:val="20"/>
                <w:szCs w:val="20"/>
                <w:lang w:val="es-CO" w:eastAsia="es-CO"/>
              </w:rPr>
              <w:t xml:space="preserve">: * Contratos No. 439 y 443 de 2019, suscritos con el Consorcio ADR y Consorcio Inter Ranchería </w:t>
            </w:r>
            <w:proofErr w:type="spellStart"/>
            <w:r w:rsidRPr="00064B95">
              <w:rPr>
                <w:color w:val="000000"/>
                <w:sz w:val="20"/>
                <w:szCs w:val="20"/>
                <w:lang w:val="es-CO" w:eastAsia="es-CO"/>
              </w:rPr>
              <w:t>AOM</w:t>
            </w:r>
            <w:proofErr w:type="spellEnd"/>
            <w:r w:rsidRPr="00064B95">
              <w:rPr>
                <w:color w:val="000000"/>
                <w:sz w:val="20"/>
                <w:szCs w:val="20"/>
                <w:lang w:val="es-CO" w:eastAsia="es-CO"/>
              </w:rPr>
              <w:t xml:space="preserve">. *Proyecto Triángulo del Tolima: Contratos No. 440 y 444 de 2019 suscritos con el Consorcio ADR y Consorcio Inter Triángulo </w:t>
            </w:r>
            <w:proofErr w:type="spellStart"/>
            <w:r w:rsidRPr="00064B95">
              <w:rPr>
                <w:color w:val="000000"/>
                <w:sz w:val="20"/>
                <w:szCs w:val="20"/>
                <w:lang w:val="es-CO" w:eastAsia="es-CO"/>
              </w:rPr>
              <w:t>AOM</w:t>
            </w:r>
            <w:proofErr w:type="spellEnd"/>
            <w:r w:rsidRPr="00064B95">
              <w:rPr>
                <w:color w:val="000000"/>
                <w:sz w:val="20"/>
                <w:szCs w:val="20"/>
                <w:lang w:val="es-CO" w:eastAsia="es-CO"/>
              </w:rPr>
              <w:t>. *Proyecto Tesalia-Paicol: - Servicio de vigilancia privada - Arrendamiento de predio para almacenamiento de tubería del proyecto. - Suscribió el Contrato No. 707 de 2019 con el objeto de “contratar a monto agotable el servicio de rocería, limpieza de los canales revestidos y servicios de mantenimiento en el proyecto”. • Pago servicio de energía.</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1545" w:type="dxa"/>
            <w:tcBorders>
              <w:top w:val="nil"/>
              <w:left w:val="single" w:sz="4" w:space="0" w:color="auto"/>
              <w:bottom w:val="single" w:sz="8"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8"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Recaudo de cartera</w:t>
            </w:r>
          </w:p>
        </w:tc>
        <w:tc>
          <w:tcPr>
            <w:tcW w:w="992" w:type="dxa"/>
            <w:tcBorders>
              <w:top w:val="nil"/>
              <w:left w:val="nil"/>
              <w:bottom w:val="single" w:sz="8" w:space="0" w:color="auto"/>
              <w:right w:val="single" w:sz="8" w:space="0" w:color="auto"/>
            </w:tcBorders>
            <w:shd w:val="clear" w:color="auto" w:fill="auto"/>
            <w:noWrap/>
            <w:vAlign w:val="center"/>
            <w:hideMark/>
          </w:tcPr>
          <w:p w:rsidR="00412626" w:rsidRPr="00AA435F" w:rsidRDefault="00412626" w:rsidP="00AA435F">
            <w:pPr>
              <w:jc w:val="center"/>
              <w:rPr>
                <w:color w:val="000000"/>
                <w:sz w:val="14"/>
                <w:szCs w:val="14"/>
                <w:lang w:val="es-CO" w:eastAsia="es-CO"/>
              </w:rPr>
            </w:pPr>
            <w:r w:rsidRPr="00AA435F">
              <w:rPr>
                <w:color w:val="000000"/>
                <w:sz w:val="14"/>
                <w:szCs w:val="14"/>
                <w:lang w:val="es-CO" w:eastAsia="es-CO"/>
              </w:rPr>
              <w:t>$ 1.811.838.380</w:t>
            </w:r>
          </w:p>
        </w:tc>
        <w:tc>
          <w:tcPr>
            <w:tcW w:w="1247" w:type="dxa"/>
            <w:tcBorders>
              <w:top w:val="nil"/>
              <w:left w:val="nil"/>
              <w:bottom w:val="single" w:sz="8"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107.9 %</w:t>
            </w:r>
          </w:p>
        </w:tc>
        <w:tc>
          <w:tcPr>
            <w:tcW w:w="3776" w:type="dxa"/>
            <w:gridSpan w:val="2"/>
            <w:tcBorders>
              <w:top w:val="single" w:sz="8" w:space="0" w:color="auto"/>
              <w:left w:val="nil"/>
              <w:bottom w:val="single" w:sz="8" w:space="0" w:color="auto"/>
              <w:right w:val="single" w:sz="8" w:space="0" w:color="000000"/>
            </w:tcBorders>
            <w:shd w:val="clear" w:color="auto" w:fill="auto"/>
            <w:vAlign w:val="center"/>
            <w:hideMark/>
          </w:tcPr>
          <w:p w:rsidR="00412626" w:rsidRPr="00064B95" w:rsidRDefault="00412626" w:rsidP="0084389E">
            <w:pPr>
              <w:jc w:val="both"/>
              <w:rPr>
                <w:color w:val="000000"/>
                <w:sz w:val="20"/>
                <w:szCs w:val="20"/>
                <w:lang w:val="es-CO" w:eastAsia="es-CO"/>
              </w:rPr>
            </w:pPr>
            <w:r w:rsidRPr="00064B95">
              <w:rPr>
                <w:color w:val="000000"/>
                <w:sz w:val="20"/>
                <w:szCs w:val="20"/>
                <w:lang w:val="es-CO" w:eastAsia="es-CO"/>
              </w:rPr>
              <w:t>Se reporta el recaudo de cartera, con corte a 31/12/2019, así: prestación del servicio público de adecuación de tierras se ha recaudado $299.043.117; 2) recuperación de la inversión el recaudo es de $230.172.844,9 y 3) transferencia de distritos $1.425.805.132. El recaudo total de la vigencia 2019 es $1.955.021.094 de pesos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545" w:type="dxa"/>
            <w:tcBorders>
              <w:top w:val="nil"/>
              <w:left w:val="single" w:sz="4" w:space="0" w:color="auto"/>
              <w:bottom w:val="single" w:sz="4" w:space="0" w:color="auto"/>
              <w:right w:val="single" w:sz="8"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nil"/>
              <w:left w:val="single" w:sz="4" w:space="0" w:color="auto"/>
              <w:bottom w:val="single" w:sz="4" w:space="0" w:color="auto"/>
              <w:right w:val="single" w:sz="8"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Resoluciones de levantamiento de medidas cautelares o utilidad pública expedidas</w:t>
            </w:r>
          </w:p>
        </w:tc>
        <w:tc>
          <w:tcPr>
            <w:tcW w:w="992" w:type="dxa"/>
            <w:tcBorders>
              <w:top w:val="nil"/>
              <w:left w:val="nil"/>
              <w:bottom w:val="single" w:sz="4" w:space="0" w:color="auto"/>
              <w:right w:val="single" w:sz="8"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15</w:t>
            </w:r>
          </w:p>
        </w:tc>
        <w:tc>
          <w:tcPr>
            <w:tcW w:w="1247" w:type="dxa"/>
            <w:tcBorders>
              <w:top w:val="nil"/>
              <w:left w:val="nil"/>
              <w:bottom w:val="single" w:sz="4" w:space="0" w:color="auto"/>
              <w:right w:val="single" w:sz="8"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80 %</w:t>
            </w:r>
          </w:p>
        </w:tc>
        <w:tc>
          <w:tcPr>
            <w:tcW w:w="3776" w:type="dxa"/>
            <w:gridSpan w:val="2"/>
            <w:tcBorders>
              <w:top w:val="single" w:sz="8" w:space="0" w:color="auto"/>
              <w:left w:val="nil"/>
              <w:bottom w:val="single" w:sz="4" w:space="0" w:color="auto"/>
              <w:right w:val="single" w:sz="8" w:space="0" w:color="000000"/>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Se han realizado 12 trámites para el proceso de levantamiento de medidas cautelares de usuarios de distritos de adecuación de tierras.</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5"/>
        </w:trPr>
        <w:tc>
          <w:tcPr>
            <w:tcW w:w="1545" w:type="dxa"/>
            <w:tcBorders>
              <w:top w:val="single" w:sz="4" w:space="0" w:color="auto"/>
              <w:left w:val="single" w:sz="4" w:space="0" w:color="auto"/>
              <w:right w:val="single" w:sz="4" w:space="0" w:color="auto"/>
            </w:tcBorders>
          </w:tcPr>
          <w:p w:rsidR="00412626" w:rsidRPr="00064B95" w:rsidRDefault="006164A7" w:rsidP="00064B95">
            <w:pPr>
              <w:jc w:val="both"/>
              <w:rPr>
                <w:color w:val="000000"/>
                <w:sz w:val="20"/>
                <w:szCs w:val="20"/>
                <w:lang w:val="es-CO" w:eastAsia="es-CO"/>
              </w:rPr>
            </w:pPr>
            <w:r>
              <w:rPr>
                <w:color w:val="000000"/>
                <w:sz w:val="20"/>
                <w:szCs w:val="20"/>
                <w:lang w:val="es-CO" w:eastAsia="es-CO"/>
              </w:rPr>
              <w:lastRenderedPageBreak/>
              <w:t>Prestación y apoyo al servicio público de adecuación de tierras Prestación y apoyo al servicio público de adecuación de tierras</w:t>
            </w:r>
          </w:p>
        </w:tc>
        <w:tc>
          <w:tcPr>
            <w:tcW w:w="1574" w:type="dxa"/>
            <w:gridSpan w:val="2"/>
            <w:tcBorders>
              <w:top w:val="single" w:sz="4" w:space="0" w:color="auto"/>
              <w:left w:val="single" w:sz="4" w:space="0" w:color="auto"/>
              <w:right w:val="single" w:sz="4"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Resoluciones de Presupuesto y Tarifas de Distritos de Propiedad Estado expedidas</w:t>
            </w:r>
          </w:p>
        </w:tc>
        <w:tc>
          <w:tcPr>
            <w:tcW w:w="992" w:type="dxa"/>
            <w:tcBorders>
              <w:top w:val="single" w:sz="4" w:space="0" w:color="auto"/>
              <w:left w:val="single" w:sz="4" w:space="0" w:color="auto"/>
              <w:right w:val="single" w:sz="4" w:space="0" w:color="auto"/>
            </w:tcBorders>
            <w:shd w:val="clear" w:color="auto" w:fill="auto"/>
            <w:noWrap/>
            <w:vAlign w:val="center"/>
            <w:hideMark/>
          </w:tcPr>
          <w:p w:rsidR="00412626" w:rsidRPr="00064B95" w:rsidRDefault="00412626" w:rsidP="00AA435F">
            <w:pPr>
              <w:jc w:val="center"/>
              <w:rPr>
                <w:color w:val="000000"/>
                <w:sz w:val="20"/>
                <w:szCs w:val="20"/>
                <w:lang w:val="es-CO" w:eastAsia="es-CO"/>
              </w:rPr>
            </w:pPr>
            <w:r w:rsidRPr="00064B95">
              <w:rPr>
                <w:color w:val="000000"/>
                <w:sz w:val="20"/>
                <w:szCs w:val="20"/>
                <w:lang w:val="es-CO" w:eastAsia="es-CO"/>
              </w:rPr>
              <w:t>12</w:t>
            </w:r>
          </w:p>
        </w:tc>
        <w:tc>
          <w:tcPr>
            <w:tcW w:w="1247" w:type="dxa"/>
            <w:tcBorders>
              <w:top w:val="single" w:sz="4" w:space="0" w:color="auto"/>
              <w:left w:val="single" w:sz="4" w:space="0" w:color="auto"/>
              <w:right w:val="single" w:sz="4" w:space="0" w:color="auto"/>
            </w:tcBorders>
            <w:shd w:val="clear" w:color="auto" w:fill="auto"/>
            <w:noWrap/>
            <w:vAlign w:val="center"/>
            <w:hideMark/>
          </w:tcPr>
          <w:p w:rsidR="00412626" w:rsidRPr="00064B95" w:rsidRDefault="00412626" w:rsidP="00064B95">
            <w:pPr>
              <w:jc w:val="center"/>
              <w:rPr>
                <w:color w:val="000000"/>
                <w:sz w:val="20"/>
                <w:szCs w:val="20"/>
                <w:lang w:val="es-CO" w:eastAsia="es-CO"/>
              </w:rPr>
            </w:pPr>
            <w:r w:rsidRPr="00064B95">
              <w:rPr>
                <w:color w:val="000000"/>
                <w:sz w:val="20"/>
                <w:szCs w:val="20"/>
                <w:lang w:val="es-CO" w:eastAsia="es-CO"/>
              </w:rPr>
              <w:t>  100 %</w:t>
            </w:r>
          </w:p>
        </w:tc>
        <w:tc>
          <w:tcPr>
            <w:tcW w:w="3776" w:type="dxa"/>
            <w:gridSpan w:val="2"/>
            <w:tcBorders>
              <w:top w:val="single" w:sz="4" w:space="0" w:color="auto"/>
              <w:left w:val="single" w:sz="4" w:space="0" w:color="auto"/>
              <w:right w:val="single" w:sz="4"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Se expidieron la totalidad de resoluciones , siendo la última la Resolución No. 0537 del 09 de agosto de 2019, por la cual e expide el presupuesto ordinario de Administración, Operación y Conservación para el año 2019 del Distrito de Adecuación de Tierras de Gran Escala Valle de Sibundoy, Putumayo.</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1"/>
        </w:trPr>
        <w:tc>
          <w:tcPr>
            <w:tcW w:w="1545" w:type="dxa"/>
            <w:tcBorders>
              <w:top w:val="single" w:sz="4" w:space="0" w:color="auto"/>
              <w:left w:val="single" w:sz="4" w:space="0" w:color="auto"/>
              <w:bottom w:val="single" w:sz="4" w:space="0" w:color="auto"/>
              <w:right w:val="single" w:sz="4" w:space="0" w:color="auto"/>
            </w:tcBorders>
          </w:tcPr>
          <w:p w:rsidR="00412626" w:rsidRPr="00AC70F9" w:rsidRDefault="006164A7" w:rsidP="00064B95">
            <w:pPr>
              <w:rPr>
                <w:color w:val="000000"/>
                <w:sz w:val="20"/>
                <w:szCs w:val="20"/>
                <w:lang w:val="es-CO" w:eastAsia="es-CO"/>
              </w:rPr>
            </w:pPr>
            <w:r>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626" w:rsidRPr="00064B95" w:rsidRDefault="00412626" w:rsidP="00064B95">
            <w:pPr>
              <w:rPr>
                <w:color w:val="000000"/>
                <w:sz w:val="20"/>
                <w:szCs w:val="20"/>
                <w:lang w:val="es-CO" w:eastAsia="es-CO"/>
              </w:rPr>
            </w:pPr>
            <w:r w:rsidRPr="00AC70F9">
              <w:rPr>
                <w:color w:val="000000"/>
                <w:sz w:val="20"/>
                <w:szCs w:val="20"/>
                <w:lang w:val="es-CO" w:eastAsia="es-CO"/>
              </w:rPr>
              <w:t>Resoluciones de Presupuesto y Tarifas de Distritos de Propiedad Estado expedidas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626" w:rsidRPr="00064B95" w:rsidRDefault="00412626" w:rsidP="00AA435F">
            <w:pPr>
              <w:jc w:val="center"/>
              <w:rPr>
                <w:color w:val="000000"/>
                <w:sz w:val="20"/>
                <w:szCs w:val="20"/>
                <w:lang w:val="es-CO" w:eastAsia="es-CO"/>
              </w:rPr>
            </w:pPr>
            <w:r>
              <w:rPr>
                <w:color w:val="000000"/>
                <w:sz w:val="20"/>
                <w:szCs w:val="20"/>
                <w:lang w:val="es-CO" w:eastAsia="es-CO"/>
              </w:rPr>
              <w:t>12</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626" w:rsidRPr="00064B95" w:rsidRDefault="00412626" w:rsidP="00F852FF">
            <w:pPr>
              <w:jc w:val="center"/>
              <w:rPr>
                <w:color w:val="000000"/>
                <w:sz w:val="20"/>
                <w:szCs w:val="20"/>
                <w:lang w:val="es-CO" w:eastAsia="es-CO"/>
              </w:rPr>
            </w:pPr>
            <w:r w:rsidRPr="00064B95">
              <w:rPr>
                <w:color w:val="000000"/>
                <w:sz w:val="20"/>
                <w:szCs w:val="20"/>
                <w:lang w:val="es-CO" w:eastAsia="es-CO"/>
              </w:rPr>
              <w:t>  </w:t>
            </w:r>
            <w:r>
              <w:rPr>
                <w:color w:val="000000"/>
                <w:sz w:val="20"/>
                <w:szCs w:val="20"/>
                <w:lang w:val="es-CO" w:eastAsia="es-CO"/>
              </w:rPr>
              <w:t>100</w:t>
            </w:r>
            <w:r w:rsidRPr="00064B95">
              <w:rPr>
                <w:color w:val="000000"/>
                <w:sz w:val="20"/>
                <w:szCs w:val="20"/>
                <w:lang w:val="es-CO" w:eastAsia="es-CO"/>
              </w:rPr>
              <w:t xml:space="preserve"> %</w:t>
            </w:r>
          </w:p>
        </w:tc>
        <w:tc>
          <w:tcPr>
            <w:tcW w:w="3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626" w:rsidRPr="00064B95" w:rsidRDefault="00412626" w:rsidP="00064B95">
            <w:pPr>
              <w:jc w:val="both"/>
              <w:rPr>
                <w:color w:val="000000"/>
                <w:sz w:val="20"/>
                <w:szCs w:val="20"/>
                <w:lang w:val="es-CO" w:eastAsia="es-CO"/>
              </w:rPr>
            </w:pPr>
            <w:r w:rsidRPr="00064B95">
              <w:rPr>
                <w:color w:val="000000"/>
                <w:sz w:val="20"/>
                <w:szCs w:val="20"/>
                <w:lang w:val="es-CO" w:eastAsia="es-CO"/>
              </w:rPr>
              <w:t xml:space="preserve">Se expidieron las siguientes resoluciones de Presupuesto y Tarifas vigencia 2019: 1. Resolución No. 382 del 26 de junio de 2019: Distritos Repelón, Manatí y Santa Lucía (Atlántico) 2. Resolución No. 381 del 26 de junio de 2019: Distritos </w:t>
            </w:r>
            <w:proofErr w:type="spellStart"/>
            <w:r w:rsidRPr="00064B95">
              <w:rPr>
                <w:color w:val="000000"/>
                <w:sz w:val="20"/>
                <w:szCs w:val="20"/>
                <w:lang w:val="es-CO" w:eastAsia="es-CO"/>
              </w:rPr>
              <w:t>Monteria</w:t>
            </w:r>
            <w:proofErr w:type="spellEnd"/>
            <w:r w:rsidRPr="00064B95">
              <w:rPr>
                <w:color w:val="000000"/>
                <w:sz w:val="20"/>
                <w:szCs w:val="20"/>
                <w:lang w:val="es-CO" w:eastAsia="es-CO"/>
              </w:rPr>
              <w:t xml:space="preserve"> - Mocarí y La Doctrina (Córdoba).</w:t>
            </w:r>
          </w:p>
        </w:tc>
      </w:tr>
      <w:tr w:rsidR="00412626" w:rsidRPr="00064B95" w:rsidTr="00AA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1"/>
        </w:trPr>
        <w:tc>
          <w:tcPr>
            <w:tcW w:w="1545" w:type="dxa"/>
            <w:tcBorders>
              <w:top w:val="single" w:sz="4" w:space="0" w:color="auto"/>
              <w:left w:val="single" w:sz="4" w:space="0" w:color="auto"/>
              <w:bottom w:val="single" w:sz="4" w:space="0" w:color="auto"/>
              <w:right w:val="single" w:sz="4" w:space="0" w:color="auto"/>
            </w:tcBorders>
            <w:vAlign w:val="center"/>
          </w:tcPr>
          <w:p w:rsidR="00412626" w:rsidRPr="00487E96" w:rsidRDefault="006164A7" w:rsidP="00487E96">
            <w:pPr>
              <w:rPr>
                <w:color w:val="000000"/>
                <w:sz w:val="20"/>
                <w:szCs w:val="20"/>
                <w:lang w:val="es-CO" w:eastAsia="es-CO"/>
              </w:rPr>
            </w:pPr>
            <w:r w:rsidRPr="00487E96">
              <w:rPr>
                <w:color w:val="000000"/>
                <w:sz w:val="20"/>
                <w:szCs w:val="20"/>
                <w:lang w:val="es-CO" w:eastAsia="es-CO"/>
              </w:rPr>
              <w:t>Prestación y apoyo al servicio público de adecuación de tierras Prestación y apoyo al servicio público de adecuación de tierras</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626" w:rsidRPr="00487E96" w:rsidRDefault="00412626" w:rsidP="00507AAF">
            <w:pPr>
              <w:jc w:val="both"/>
              <w:rPr>
                <w:color w:val="000000"/>
                <w:sz w:val="20"/>
                <w:szCs w:val="20"/>
                <w:lang w:val="es-CO" w:eastAsia="es-CO"/>
              </w:rPr>
            </w:pPr>
            <w:r w:rsidRPr="00487E96">
              <w:rPr>
                <w:color w:val="000000"/>
                <w:sz w:val="20"/>
                <w:szCs w:val="20"/>
                <w:lang w:val="es-CO" w:eastAsia="es-CO"/>
              </w:rPr>
              <w:t>Servicio trámite o acompañamiento a Asociaciones finalizados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2626" w:rsidRPr="00487E96" w:rsidRDefault="00412626" w:rsidP="00AA435F">
            <w:pPr>
              <w:jc w:val="center"/>
              <w:rPr>
                <w:color w:val="000000"/>
                <w:sz w:val="20"/>
                <w:szCs w:val="20"/>
                <w:lang w:val="es-CO" w:eastAsia="es-CO"/>
              </w:rPr>
            </w:pPr>
            <w:r w:rsidRPr="00487E96">
              <w:rPr>
                <w:color w:val="000000"/>
                <w:sz w:val="20"/>
                <w:szCs w:val="20"/>
                <w:lang w:val="es-CO" w:eastAsia="es-CO"/>
              </w:rPr>
              <w:t>430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626" w:rsidRPr="00487E96" w:rsidRDefault="00412626" w:rsidP="00507AAF">
            <w:pPr>
              <w:jc w:val="center"/>
              <w:rPr>
                <w:color w:val="000000"/>
                <w:sz w:val="20"/>
                <w:szCs w:val="20"/>
                <w:lang w:val="es-CO" w:eastAsia="es-CO"/>
              </w:rPr>
            </w:pPr>
            <w:r w:rsidRPr="00487E96">
              <w:rPr>
                <w:color w:val="000000"/>
                <w:sz w:val="20"/>
                <w:szCs w:val="20"/>
                <w:lang w:val="es-CO" w:eastAsia="es-CO"/>
              </w:rPr>
              <w:t>101.6%</w:t>
            </w:r>
          </w:p>
        </w:tc>
        <w:tc>
          <w:tcPr>
            <w:tcW w:w="3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626" w:rsidRPr="00487E96" w:rsidRDefault="00412626" w:rsidP="00507AAF">
            <w:pPr>
              <w:jc w:val="both"/>
              <w:rPr>
                <w:color w:val="000000"/>
                <w:sz w:val="20"/>
                <w:szCs w:val="20"/>
                <w:lang w:val="es-CO" w:eastAsia="es-CO"/>
              </w:rPr>
            </w:pPr>
            <w:r w:rsidRPr="00487E96">
              <w:rPr>
                <w:color w:val="000000"/>
                <w:sz w:val="20"/>
                <w:szCs w:val="20"/>
                <w:lang w:val="es-CO" w:eastAsia="es-CO"/>
              </w:rPr>
              <w:t>En la vigencia se atendieron  437 requerimientos de servicios, entre Trámites de conformación y legalización de las asociaciones de usuarios: viabilidad personería jurídica, certificaciones de existencia y representación legal y reforma de estatutos de asociaciones de usuarios de proyectos y distritos de adecuación de tierras. Igualmente, respuestas a otras solicitudes realizadas por las asociaciones de usuarios de distritos de adecuación de tierras.  Alcanzando el 101.6% de la meta para 2019.</w:t>
            </w:r>
            <w:r w:rsidR="005112E3" w:rsidRPr="00487E96">
              <w:rPr>
                <w:color w:val="000000"/>
                <w:sz w:val="20"/>
                <w:szCs w:val="20"/>
                <w:lang w:val="es-CO" w:eastAsia="es-CO"/>
              </w:rPr>
              <w:t xml:space="preserve"> La evidencia de la finalización del trámite consiste en la emisión del oficio respuesta a la solicitud, documentos que reposan en el archivo de la Dirección de Adecuación de Tierras.</w:t>
            </w:r>
          </w:p>
        </w:tc>
      </w:tr>
    </w:tbl>
    <w:p w:rsidR="002B39D3" w:rsidRDefault="002B39D3" w:rsidP="002B39D3">
      <w:r w:rsidRPr="00315029">
        <w:rPr>
          <w:sz w:val="16"/>
        </w:rPr>
        <w:t xml:space="preserve">Fuente: </w:t>
      </w:r>
      <w:r>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w:t>
      </w:r>
      <w:r w:rsidR="00AA435F">
        <w:rPr>
          <w:sz w:val="16"/>
        </w:rPr>
        <w:t>31</w:t>
      </w:r>
      <w:r w:rsidRPr="00315029">
        <w:rPr>
          <w:sz w:val="16"/>
        </w:rPr>
        <w:t xml:space="preserve"> de </w:t>
      </w:r>
      <w:r w:rsidR="00AA435F">
        <w:rPr>
          <w:sz w:val="16"/>
        </w:rPr>
        <w:t>diciembre</w:t>
      </w:r>
    </w:p>
    <w:p w:rsidR="000F4C60" w:rsidRDefault="000F4C60" w:rsidP="000F4C60"/>
    <w:p w:rsidR="00721068" w:rsidRDefault="00721068" w:rsidP="000F4C60"/>
    <w:p w:rsidR="000F4C60" w:rsidRDefault="000F4C60" w:rsidP="000F4C60">
      <w:pPr>
        <w:pStyle w:val="Ttulo2"/>
        <w:spacing w:before="0"/>
        <w:rPr>
          <w:rFonts w:eastAsia="Times New Roman"/>
          <w:lang w:eastAsia="es-CO"/>
        </w:rPr>
      </w:pPr>
      <w:bookmarkStart w:id="10" w:name="_Toc514676732"/>
      <w:bookmarkStart w:id="11" w:name="_Toc16585512"/>
      <w:r w:rsidRPr="00243F40">
        <w:rPr>
          <w:rFonts w:eastAsia="Times New Roman"/>
          <w:lang w:eastAsia="es-CO"/>
        </w:rPr>
        <w:lastRenderedPageBreak/>
        <w:t xml:space="preserve">Línea Estratégica 3: </w:t>
      </w:r>
      <w:bookmarkEnd w:id="10"/>
      <w:r w:rsidRPr="000621BE">
        <w:rPr>
          <w:rFonts w:eastAsia="Times New Roman"/>
          <w:lang w:eastAsia="es-CO"/>
        </w:rPr>
        <w:t>Fortalecimiento de capacidades institucionales</w:t>
      </w:r>
      <w:bookmarkEnd w:id="11"/>
    </w:p>
    <w:p w:rsidR="000F4C60" w:rsidRDefault="000F4C60" w:rsidP="000F4C60">
      <w:pPr>
        <w:rPr>
          <w:lang w:eastAsia="es-CO"/>
        </w:rPr>
      </w:pPr>
    </w:p>
    <w:p w:rsidR="000F4C60" w:rsidRDefault="000F4C60" w:rsidP="007138CD">
      <w:pPr>
        <w:jc w:val="both"/>
        <w:rPr>
          <w:lang w:eastAsia="es-CO"/>
        </w:rPr>
      </w:pPr>
      <w:r>
        <w:rPr>
          <w:lang w:eastAsia="es-CO"/>
        </w:rPr>
        <w:t xml:space="preserve">La última Línea Estratégica, está relacionada principalmente con temas del Modelo Integrado de Gestión y Planeación, a corte </w:t>
      </w:r>
      <w:r w:rsidR="00EB346A">
        <w:rPr>
          <w:lang w:eastAsia="es-CO"/>
        </w:rPr>
        <w:t xml:space="preserve">a </w:t>
      </w:r>
      <w:r w:rsidR="001D3934">
        <w:rPr>
          <w:lang w:eastAsia="es-CO"/>
        </w:rPr>
        <w:t>noviembre</w:t>
      </w:r>
      <w:r>
        <w:rPr>
          <w:lang w:eastAsia="es-CO"/>
        </w:rPr>
        <w:t xml:space="preserve"> 3</w:t>
      </w:r>
      <w:r w:rsidR="001D3934">
        <w:rPr>
          <w:lang w:eastAsia="es-CO"/>
        </w:rPr>
        <w:t>0</w:t>
      </w:r>
      <w:r>
        <w:rPr>
          <w:lang w:eastAsia="es-CO"/>
        </w:rPr>
        <w:t xml:space="preserve"> esta línea </w:t>
      </w:r>
      <w:r w:rsidR="00EB346A">
        <w:rPr>
          <w:lang w:eastAsia="es-CO"/>
        </w:rPr>
        <w:t xml:space="preserve">estratégica tuvo un avance del </w:t>
      </w:r>
      <w:r w:rsidR="00721068">
        <w:rPr>
          <w:b/>
          <w:lang w:eastAsia="es-CO"/>
        </w:rPr>
        <w:t>95.07</w:t>
      </w:r>
      <w:r w:rsidRPr="00EB346A">
        <w:rPr>
          <w:b/>
          <w:lang w:eastAsia="es-CO"/>
        </w:rPr>
        <w:t>%</w:t>
      </w:r>
      <w:r>
        <w:rPr>
          <w:lang w:eastAsia="es-CO"/>
        </w:rPr>
        <w:t>. A continuación se detallan los avances:</w:t>
      </w:r>
    </w:p>
    <w:p w:rsidR="000F4C60" w:rsidRDefault="000F4C60" w:rsidP="00EB346A"/>
    <w:p w:rsidR="00721068" w:rsidRDefault="00721068" w:rsidP="00EB346A"/>
    <w:p w:rsidR="00DA52E6" w:rsidRDefault="00DA52E6" w:rsidP="00DA52E6">
      <w:pPr>
        <w:pStyle w:val="Epgrafe"/>
      </w:pPr>
      <w:r>
        <w:t>Tabla N° 5: Avances indicadores Objetivo Estratégico 4</w:t>
      </w:r>
    </w:p>
    <w:p w:rsidR="00721068" w:rsidRDefault="00721068" w:rsidP="00EB346A"/>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985"/>
        <w:gridCol w:w="709"/>
        <w:gridCol w:w="1350"/>
        <w:gridCol w:w="1984"/>
        <w:gridCol w:w="993"/>
      </w:tblGrid>
      <w:tr w:rsidR="006164A7" w:rsidRPr="001D3934" w:rsidTr="006164A7">
        <w:trPr>
          <w:trHeight w:val="92"/>
          <w:tblHeader/>
        </w:trPr>
        <w:tc>
          <w:tcPr>
            <w:tcW w:w="8013" w:type="dxa"/>
            <w:gridSpan w:val="5"/>
            <w:shd w:val="clear" w:color="auto" w:fill="A8D08D" w:themeFill="accent6" w:themeFillTint="99"/>
          </w:tcPr>
          <w:p w:rsidR="006164A7" w:rsidRPr="00721068" w:rsidRDefault="006164A7">
            <w:pPr>
              <w:jc w:val="both"/>
              <w:rPr>
                <w:b/>
                <w:bCs/>
                <w:color w:val="000000" w:themeColor="text1"/>
                <w:sz w:val="20"/>
                <w:szCs w:val="20"/>
                <w:lang w:val="es-CO" w:eastAsia="es-CO"/>
              </w:rPr>
            </w:pPr>
            <w:r w:rsidRPr="00721068">
              <w:rPr>
                <w:b/>
                <w:bCs/>
                <w:color w:val="000000" w:themeColor="text1"/>
                <w:sz w:val="20"/>
                <w:szCs w:val="20"/>
              </w:rPr>
              <w:t>4. Consolidar el modelo de gestión para optimizar el desempeño institucional, la articulación interinstitucional y el uso de los recursos físicos, financieros, tecnológicos y humanos.</w:t>
            </w:r>
          </w:p>
        </w:tc>
        <w:tc>
          <w:tcPr>
            <w:tcW w:w="993" w:type="dxa"/>
            <w:shd w:val="clear" w:color="auto" w:fill="A8D08D" w:themeFill="accent6" w:themeFillTint="99"/>
            <w:noWrap/>
            <w:vAlign w:val="center"/>
            <w:hideMark/>
          </w:tcPr>
          <w:p w:rsidR="006164A7" w:rsidRPr="00721068" w:rsidRDefault="006164A7" w:rsidP="002867B8">
            <w:pPr>
              <w:jc w:val="center"/>
              <w:rPr>
                <w:b/>
                <w:bCs/>
                <w:color w:val="000000" w:themeColor="text1"/>
                <w:sz w:val="28"/>
                <w:szCs w:val="20"/>
              </w:rPr>
            </w:pPr>
            <w:r w:rsidRPr="00721068">
              <w:rPr>
                <w:b/>
                <w:bCs/>
                <w:color w:val="000000" w:themeColor="text1"/>
                <w:sz w:val="28"/>
                <w:szCs w:val="20"/>
              </w:rPr>
              <w:t>95%</w:t>
            </w:r>
          </w:p>
        </w:tc>
      </w:tr>
      <w:tr w:rsidR="006164A7" w:rsidRPr="001D3934" w:rsidTr="006164A7">
        <w:trPr>
          <w:trHeight w:val="60"/>
          <w:tblHeader/>
        </w:trPr>
        <w:tc>
          <w:tcPr>
            <w:tcW w:w="1985" w:type="dxa"/>
            <w:shd w:val="clear" w:color="auto" w:fill="A8D08D" w:themeFill="accent6" w:themeFillTint="99"/>
            <w:vAlign w:val="center"/>
          </w:tcPr>
          <w:p w:rsidR="006164A7" w:rsidRPr="00721068" w:rsidRDefault="006164A7" w:rsidP="006164A7">
            <w:pPr>
              <w:jc w:val="center"/>
              <w:rPr>
                <w:b/>
                <w:bCs/>
                <w:color w:val="000000" w:themeColor="text1"/>
                <w:sz w:val="20"/>
                <w:szCs w:val="20"/>
              </w:rPr>
            </w:pPr>
            <w:r>
              <w:rPr>
                <w:b/>
                <w:bCs/>
                <w:color w:val="000000" w:themeColor="text1"/>
                <w:sz w:val="20"/>
                <w:szCs w:val="20"/>
              </w:rPr>
              <w:t>Proceso</w:t>
            </w:r>
          </w:p>
        </w:tc>
        <w:tc>
          <w:tcPr>
            <w:tcW w:w="1985" w:type="dxa"/>
            <w:shd w:val="clear" w:color="auto" w:fill="A8D08D" w:themeFill="accent6" w:themeFillTint="99"/>
            <w:vAlign w:val="center"/>
            <w:hideMark/>
          </w:tcPr>
          <w:p w:rsidR="006164A7" w:rsidRPr="00721068" w:rsidRDefault="006164A7" w:rsidP="006164A7">
            <w:pPr>
              <w:jc w:val="center"/>
              <w:rPr>
                <w:b/>
                <w:bCs/>
                <w:color w:val="000000" w:themeColor="text1"/>
                <w:sz w:val="20"/>
                <w:szCs w:val="20"/>
              </w:rPr>
            </w:pPr>
            <w:r w:rsidRPr="00721068">
              <w:rPr>
                <w:b/>
                <w:bCs/>
                <w:color w:val="000000" w:themeColor="text1"/>
                <w:sz w:val="20"/>
                <w:szCs w:val="20"/>
              </w:rPr>
              <w:t>Indicador</w:t>
            </w:r>
          </w:p>
        </w:tc>
        <w:tc>
          <w:tcPr>
            <w:tcW w:w="709" w:type="dxa"/>
            <w:shd w:val="clear" w:color="auto" w:fill="A8D08D" w:themeFill="accent6" w:themeFillTint="99"/>
            <w:vAlign w:val="center"/>
            <w:hideMark/>
          </w:tcPr>
          <w:p w:rsidR="006164A7" w:rsidRPr="00721068" w:rsidRDefault="006164A7" w:rsidP="006164A7">
            <w:pPr>
              <w:jc w:val="center"/>
              <w:rPr>
                <w:b/>
                <w:bCs/>
                <w:color w:val="000000" w:themeColor="text1"/>
                <w:sz w:val="20"/>
                <w:szCs w:val="20"/>
              </w:rPr>
            </w:pPr>
            <w:r w:rsidRPr="00721068">
              <w:rPr>
                <w:b/>
                <w:bCs/>
                <w:color w:val="000000" w:themeColor="text1"/>
                <w:sz w:val="20"/>
                <w:szCs w:val="20"/>
              </w:rPr>
              <w:t>Meta</w:t>
            </w:r>
          </w:p>
        </w:tc>
        <w:tc>
          <w:tcPr>
            <w:tcW w:w="1350" w:type="dxa"/>
            <w:shd w:val="clear" w:color="auto" w:fill="A8D08D" w:themeFill="accent6" w:themeFillTint="99"/>
            <w:vAlign w:val="center"/>
            <w:hideMark/>
          </w:tcPr>
          <w:p w:rsidR="006164A7" w:rsidRPr="00721068" w:rsidRDefault="006164A7" w:rsidP="006164A7">
            <w:pPr>
              <w:jc w:val="center"/>
              <w:rPr>
                <w:b/>
                <w:bCs/>
                <w:color w:val="000000" w:themeColor="text1"/>
                <w:sz w:val="20"/>
                <w:szCs w:val="20"/>
              </w:rPr>
            </w:pPr>
            <w:r w:rsidRPr="00721068">
              <w:rPr>
                <w:b/>
                <w:bCs/>
                <w:color w:val="000000" w:themeColor="text1"/>
                <w:sz w:val="20"/>
                <w:szCs w:val="20"/>
              </w:rPr>
              <w:t>% Avance cuantitativo</w:t>
            </w:r>
          </w:p>
        </w:tc>
        <w:tc>
          <w:tcPr>
            <w:tcW w:w="2977" w:type="dxa"/>
            <w:gridSpan w:val="2"/>
            <w:shd w:val="clear" w:color="auto" w:fill="A8D08D" w:themeFill="accent6" w:themeFillTint="99"/>
            <w:vAlign w:val="center"/>
            <w:hideMark/>
          </w:tcPr>
          <w:p w:rsidR="006164A7" w:rsidRPr="00721068" w:rsidRDefault="006164A7" w:rsidP="006164A7">
            <w:pPr>
              <w:jc w:val="center"/>
              <w:rPr>
                <w:b/>
                <w:bCs/>
                <w:color w:val="000000" w:themeColor="text1"/>
                <w:sz w:val="20"/>
                <w:szCs w:val="20"/>
              </w:rPr>
            </w:pPr>
            <w:r w:rsidRPr="00721068">
              <w:rPr>
                <w:b/>
                <w:bCs/>
                <w:color w:val="000000" w:themeColor="text1"/>
                <w:sz w:val="20"/>
                <w:szCs w:val="20"/>
              </w:rPr>
              <w:t>Avance Cualitativo</w:t>
            </w:r>
          </w:p>
        </w:tc>
      </w:tr>
      <w:tr w:rsidR="006164A7" w:rsidRPr="001D3934" w:rsidTr="00B90824">
        <w:trPr>
          <w:trHeight w:val="2013"/>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Gestión contractual</w:t>
            </w:r>
          </w:p>
        </w:tc>
        <w:tc>
          <w:tcPr>
            <w:tcW w:w="1985" w:type="dxa"/>
            <w:shd w:val="clear" w:color="auto" w:fill="auto"/>
            <w:vAlign w:val="center"/>
            <w:hideMark/>
          </w:tcPr>
          <w:p w:rsidR="006164A7" w:rsidRDefault="006164A7">
            <w:pPr>
              <w:rPr>
                <w:color w:val="000000"/>
                <w:sz w:val="20"/>
                <w:szCs w:val="20"/>
              </w:rPr>
            </w:pPr>
            <w:r>
              <w:rPr>
                <w:color w:val="000000"/>
                <w:sz w:val="20"/>
                <w:szCs w:val="20"/>
              </w:rPr>
              <w:t>Avance de las necesidades registradas en el Plan Anual de Adquisiciones.</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11</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109.09 %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Mensualmente la vicepresidencia de gestión contractual envía un correo a los diferentes líderes y responsables del tema donde se muestra el grado de avance del plan anual de adquisiciones vigencia 2019,  donde se hace un comparativo entre el Número de procesos radicados en la </w:t>
            </w:r>
            <w:proofErr w:type="spellStart"/>
            <w:r>
              <w:rPr>
                <w:color w:val="000000"/>
                <w:sz w:val="20"/>
                <w:szCs w:val="20"/>
              </w:rPr>
              <w:t>VGC</w:t>
            </w:r>
            <w:proofErr w:type="spellEnd"/>
            <w:r>
              <w:rPr>
                <w:color w:val="000000"/>
                <w:sz w:val="20"/>
                <w:szCs w:val="20"/>
              </w:rPr>
              <w:t xml:space="preserve"> vs. Número de procesos estimados a radicar en la </w:t>
            </w:r>
            <w:proofErr w:type="spellStart"/>
            <w:r>
              <w:rPr>
                <w:color w:val="000000"/>
                <w:sz w:val="20"/>
                <w:szCs w:val="20"/>
              </w:rPr>
              <w:t>VGC</w:t>
            </w:r>
            <w:proofErr w:type="spellEnd"/>
            <w:r>
              <w:rPr>
                <w:color w:val="000000"/>
                <w:sz w:val="20"/>
                <w:szCs w:val="20"/>
              </w:rPr>
              <w:t xml:space="preserve"> por la dependencia responsable.</w:t>
            </w:r>
          </w:p>
        </w:tc>
      </w:tr>
      <w:tr w:rsidR="006164A7" w:rsidRPr="001D3934" w:rsidTr="00B90824">
        <w:trPr>
          <w:trHeight w:val="2127"/>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Participación y atención al ciudadano</w:t>
            </w:r>
          </w:p>
        </w:tc>
        <w:tc>
          <w:tcPr>
            <w:tcW w:w="1985" w:type="dxa"/>
            <w:shd w:val="clear" w:color="auto" w:fill="auto"/>
            <w:vAlign w:val="center"/>
            <w:hideMark/>
          </w:tcPr>
          <w:p w:rsidR="006164A7" w:rsidRDefault="006164A7">
            <w:pPr>
              <w:rPr>
                <w:color w:val="000000"/>
                <w:sz w:val="20"/>
                <w:szCs w:val="20"/>
              </w:rPr>
            </w:pPr>
            <w:r>
              <w:rPr>
                <w:color w:val="000000"/>
                <w:sz w:val="20"/>
                <w:szCs w:val="20"/>
              </w:rPr>
              <w:t>Componente de rendición de cuentas de comunicaciones ejecutado</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Dentro del componente de rendición de cuentas, se realiza publicación de información de interés a través de página web y redes sociales. En el mes de diciembre se realizó la Audiencia Publica Participativa donde se </w:t>
            </w:r>
            <w:r w:rsidR="00487E96">
              <w:rPr>
                <w:color w:val="000000"/>
                <w:sz w:val="20"/>
                <w:szCs w:val="20"/>
              </w:rPr>
              <w:t>resumió</w:t>
            </w:r>
            <w:r>
              <w:rPr>
                <w:color w:val="000000"/>
                <w:sz w:val="20"/>
                <w:szCs w:val="20"/>
              </w:rPr>
              <w:t xml:space="preserve"> la gestión institucional y se dio respuesta a las preguntas realizadas por la </w:t>
            </w:r>
            <w:r w:rsidR="00487E96">
              <w:rPr>
                <w:color w:val="000000"/>
                <w:sz w:val="20"/>
                <w:szCs w:val="20"/>
              </w:rPr>
              <w:t>ciudadanía</w:t>
            </w:r>
            <w:r>
              <w:rPr>
                <w:color w:val="000000"/>
                <w:sz w:val="20"/>
                <w:szCs w:val="20"/>
              </w:rPr>
              <w:t xml:space="preserve"> en forma presencial y a través de los canales virtuales disponibles.</w:t>
            </w:r>
          </w:p>
        </w:tc>
      </w:tr>
      <w:tr w:rsidR="006164A7" w:rsidRPr="001D3934" w:rsidTr="00487E96">
        <w:trPr>
          <w:trHeight w:val="326"/>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Gestión contractual</w:t>
            </w:r>
          </w:p>
        </w:tc>
        <w:tc>
          <w:tcPr>
            <w:tcW w:w="1985" w:type="dxa"/>
            <w:shd w:val="clear" w:color="auto" w:fill="auto"/>
            <w:vAlign w:val="center"/>
            <w:hideMark/>
          </w:tcPr>
          <w:p w:rsidR="006164A7" w:rsidRDefault="006164A7">
            <w:pPr>
              <w:rPr>
                <w:color w:val="000000"/>
                <w:sz w:val="20"/>
                <w:szCs w:val="20"/>
              </w:rPr>
            </w:pPr>
            <w:r>
              <w:rPr>
                <w:color w:val="000000"/>
                <w:sz w:val="20"/>
                <w:szCs w:val="20"/>
              </w:rPr>
              <w:t xml:space="preserve">Contratos, convenios y actuaciones o novedades contractuales suscritas durante el </w:t>
            </w:r>
            <w:r>
              <w:rPr>
                <w:color w:val="000000"/>
                <w:sz w:val="20"/>
                <w:szCs w:val="20"/>
              </w:rPr>
              <w:lastRenderedPageBreak/>
              <w:t>mes</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lastRenderedPageBreak/>
              <w:t>11</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109.09 %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En lo corrido del año se han suscrito 756 contratos. </w:t>
            </w:r>
          </w:p>
        </w:tc>
      </w:tr>
      <w:tr w:rsidR="006164A7" w:rsidRPr="001D3934" w:rsidTr="00B90824">
        <w:trPr>
          <w:trHeight w:val="2230"/>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lastRenderedPageBreak/>
              <w:t>Gestión administrativa</w:t>
            </w:r>
          </w:p>
        </w:tc>
        <w:tc>
          <w:tcPr>
            <w:tcW w:w="1985" w:type="dxa"/>
            <w:shd w:val="clear" w:color="auto" w:fill="auto"/>
            <w:vAlign w:val="center"/>
            <w:hideMark/>
          </w:tcPr>
          <w:p w:rsidR="006164A7" w:rsidRDefault="006164A7">
            <w:pPr>
              <w:rPr>
                <w:color w:val="000000"/>
                <w:sz w:val="20"/>
                <w:szCs w:val="20"/>
              </w:rPr>
            </w:pPr>
            <w:r>
              <w:rPr>
                <w:color w:val="000000"/>
                <w:sz w:val="20"/>
                <w:szCs w:val="20"/>
              </w:rPr>
              <w:t>Distritos de Adecuación de Tierras de Menor Escala con inventario y valorización, asegurados a través del Plan de seguros de la ADR.</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Se solicitó eliminación del este hito en el plan de acción 2019, llevándolo a comité institucional de gestión y desempeño en cesión del 14 de junio como lo refleja el acta 3 y no fue aprobado, no se cumplió la meta por no contar con el recurso para avalúos y seguros.</w:t>
            </w:r>
          </w:p>
        </w:tc>
      </w:tr>
      <w:tr w:rsidR="006164A7" w:rsidRPr="001D3934" w:rsidTr="00B90824">
        <w:trPr>
          <w:trHeight w:val="2121"/>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 xml:space="preserve">Gestión de </w:t>
            </w:r>
            <w:proofErr w:type="spellStart"/>
            <w:r>
              <w:rPr>
                <w:rFonts w:ascii="Calibri" w:hAnsi="Calibri"/>
                <w:color w:val="000000"/>
                <w:sz w:val="22"/>
                <w:szCs w:val="22"/>
              </w:rPr>
              <w:t>tecnologias</w:t>
            </w:r>
            <w:proofErr w:type="spellEnd"/>
            <w:r>
              <w:rPr>
                <w:rFonts w:ascii="Calibri" w:hAnsi="Calibri"/>
                <w:color w:val="000000"/>
                <w:sz w:val="22"/>
                <w:szCs w:val="22"/>
              </w:rPr>
              <w:t xml:space="preserve"> de la información</w:t>
            </w:r>
          </w:p>
        </w:tc>
        <w:tc>
          <w:tcPr>
            <w:tcW w:w="1985" w:type="dxa"/>
            <w:shd w:val="clear" w:color="auto" w:fill="auto"/>
            <w:vAlign w:val="center"/>
            <w:hideMark/>
          </w:tcPr>
          <w:p w:rsidR="006164A7" w:rsidRDefault="006164A7">
            <w:pPr>
              <w:rPr>
                <w:color w:val="000000"/>
                <w:sz w:val="20"/>
                <w:szCs w:val="20"/>
              </w:rPr>
            </w:pPr>
            <w:r>
              <w:rPr>
                <w:color w:val="000000"/>
                <w:sz w:val="20"/>
                <w:szCs w:val="20"/>
              </w:rPr>
              <w:t>Documentos para la planeación estratégica actualizados</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87 %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La </w:t>
            </w:r>
            <w:proofErr w:type="spellStart"/>
            <w:r>
              <w:rPr>
                <w:color w:val="000000"/>
                <w:sz w:val="20"/>
                <w:szCs w:val="20"/>
              </w:rPr>
              <w:t>OTI</w:t>
            </w:r>
            <w:proofErr w:type="spellEnd"/>
            <w:r>
              <w:rPr>
                <w:color w:val="000000"/>
                <w:sz w:val="20"/>
                <w:szCs w:val="20"/>
              </w:rPr>
              <w:t xml:space="preserve"> realizó actividades finales las cuales se ven reflejadas en el numeral 5-ENTENDIMIENTO ESTRATÉGICO, del plan estratégico de tecnologías de la información - </w:t>
            </w:r>
            <w:proofErr w:type="spellStart"/>
            <w:r>
              <w:rPr>
                <w:color w:val="000000"/>
                <w:sz w:val="20"/>
                <w:szCs w:val="20"/>
              </w:rPr>
              <w:t>PETI</w:t>
            </w:r>
            <w:proofErr w:type="spellEnd"/>
            <w:r>
              <w:rPr>
                <w:color w:val="000000"/>
                <w:sz w:val="20"/>
                <w:szCs w:val="20"/>
              </w:rPr>
              <w:t xml:space="preserve">, este documento junto con el documento de arquitectura empresarial - </w:t>
            </w:r>
            <w:proofErr w:type="spellStart"/>
            <w:r>
              <w:rPr>
                <w:color w:val="000000"/>
                <w:sz w:val="20"/>
                <w:szCs w:val="20"/>
              </w:rPr>
              <w:t>AE</w:t>
            </w:r>
            <w:proofErr w:type="spellEnd"/>
            <w:r>
              <w:rPr>
                <w:color w:val="000000"/>
                <w:sz w:val="20"/>
                <w:szCs w:val="20"/>
              </w:rPr>
              <w:t xml:space="preserve">, fue presentado al Comité Institucional de Gestión y Desempeño, el 20 de diciembre de 2019. </w:t>
            </w:r>
          </w:p>
        </w:tc>
      </w:tr>
      <w:tr w:rsidR="006164A7" w:rsidRPr="001D3934" w:rsidTr="00B90824">
        <w:trPr>
          <w:trHeight w:val="2580"/>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Participación y atención al ciudadano</w:t>
            </w:r>
          </w:p>
        </w:tc>
        <w:tc>
          <w:tcPr>
            <w:tcW w:w="1985" w:type="dxa"/>
            <w:shd w:val="clear" w:color="auto" w:fill="auto"/>
            <w:vAlign w:val="center"/>
            <w:hideMark/>
          </w:tcPr>
          <w:p w:rsidR="006164A7" w:rsidRDefault="006164A7">
            <w:pPr>
              <w:rPr>
                <w:color w:val="000000"/>
                <w:sz w:val="20"/>
                <w:szCs w:val="20"/>
              </w:rPr>
            </w:pPr>
            <w:r>
              <w:rPr>
                <w:color w:val="000000"/>
                <w:sz w:val="20"/>
                <w:szCs w:val="20"/>
              </w:rPr>
              <w:t>Ejecución del Componente de Rendición de cuentas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Se elaboró el tercer análisis de la encuesta de calidad de servicio y satisfacción del usuario de la vigencia, con corte a 12 de diciembre y  se encuentra publicado en la página web  2. En el mes de noviembre se completaron las 7 ferias de servicio al ciudadano con participación de Atención al Ciudadano sede central.  3. Se aplicó la evaluación de rendición de cuentas el 19 de diciembre en la ejecución de la misma, un total de 310 encuestas tabuladas a nivel nacional se tabularon para el respectivo informe.  </w:t>
            </w:r>
          </w:p>
        </w:tc>
      </w:tr>
      <w:tr w:rsidR="006164A7" w:rsidRPr="001D3934" w:rsidTr="006164A7">
        <w:trPr>
          <w:trHeight w:val="164"/>
        </w:trPr>
        <w:tc>
          <w:tcPr>
            <w:tcW w:w="1985" w:type="dxa"/>
          </w:tcPr>
          <w:p w:rsidR="006164A7" w:rsidRDefault="006164A7" w:rsidP="006164A7">
            <w:pPr>
              <w:rPr>
                <w:rFonts w:ascii="Calibri" w:hAnsi="Calibri"/>
                <w:color w:val="000000"/>
                <w:sz w:val="22"/>
                <w:szCs w:val="22"/>
              </w:rPr>
            </w:pPr>
            <w:r>
              <w:rPr>
                <w:rFonts w:ascii="Calibri" w:hAnsi="Calibri"/>
                <w:color w:val="000000"/>
                <w:sz w:val="22"/>
                <w:szCs w:val="22"/>
              </w:rPr>
              <w:lastRenderedPageBreak/>
              <w:t>Gestión talento humano</w:t>
            </w:r>
          </w:p>
          <w:p w:rsidR="006164A7" w:rsidRDefault="006164A7">
            <w:pPr>
              <w:rPr>
                <w:color w:val="000000"/>
                <w:sz w:val="20"/>
                <w:szCs w:val="20"/>
              </w:rPr>
            </w:pPr>
          </w:p>
        </w:tc>
        <w:tc>
          <w:tcPr>
            <w:tcW w:w="1985" w:type="dxa"/>
            <w:shd w:val="clear" w:color="auto" w:fill="auto"/>
            <w:vAlign w:val="center"/>
            <w:hideMark/>
          </w:tcPr>
          <w:p w:rsidR="006164A7" w:rsidRDefault="006164A7">
            <w:pPr>
              <w:rPr>
                <w:color w:val="000000"/>
                <w:sz w:val="20"/>
                <w:szCs w:val="20"/>
              </w:rPr>
            </w:pPr>
            <w:r>
              <w:rPr>
                <w:color w:val="000000"/>
                <w:sz w:val="20"/>
                <w:szCs w:val="20"/>
              </w:rPr>
              <w:t>Ejecución del Plan Estratégico de Talento Humano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Se dio cumplimiento a las actividades incluidas en el Plan Estratégico de Talento Humano para la vigencia 2019.</w:t>
            </w:r>
          </w:p>
        </w:tc>
      </w:tr>
      <w:tr w:rsidR="006164A7" w:rsidRPr="001D3934" w:rsidTr="00B90824">
        <w:trPr>
          <w:trHeight w:val="60"/>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Gestión talento humano</w:t>
            </w:r>
          </w:p>
        </w:tc>
        <w:tc>
          <w:tcPr>
            <w:tcW w:w="1985" w:type="dxa"/>
            <w:shd w:val="clear" w:color="auto" w:fill="auto"/>
            <w:vAlign w:val="center"/>
            <w:hideMark/>
          </w:tcPr>
          <w:p w:rsidR="006164A7" w:rsidRDefault="006164A7">
            <w:pPr>
              <w:rPr>
                <w:color w:val="000000"/>
                <w:sz w:val="20"/>
                <w:szCs w:val="20"/>
              </w:rPr>
            </w:pPr>
            <w:r>
              <w:rPr>
                <w:color w:val="000000"/>
                <w:sz w:val="20"/>
                <w:szCs w:val="20"/>
              </w:rPr>
              <w:t xml:space="preserve">Ejecución del uso y aplicaciones de las bases de datos del sistema </w:t>
            </w:r>
            <w:proofErr w:type="spellStart"/>
            <w:r>
              <w:rPr>
                <w:color w:val="000000"/>
                <w:sz w:val="20"/>
                <w:szCs w:val="20"/>
              </w:rPr>
              <w:t>SIGEP</w:t>
            </w:r>
            <w:proofErr w:type="spellEnd"/>
            <w:r>
              <w:rPr>
                <w:color w:val="000000"/>
                <w:sz w:val="20"/>
                <w:szCs w:val="20"/>
              </w:rPr>
              <w:t xml:space="preserve"> nómina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Realizó actualización de las bases de datos del sistema </w:t>
            </w:r>
            <w:proofErr w:type="spellStart"/>
            <w:r>
              <w:rPr>
                <w:color w:val="000000"/>
                <w:sz w:val="20"/>
                <w:szCs w:val="20"/>
              </w:rPr>
              <w:t>SIGEP</w:t>
            </w:r>
            <w:proofErr w:type="spellEnd"/>
            <w:r>
              <w:rPr>
                <w:color w:val="000000"/>
                <w:sz w:val="20"/>
                <w:szCs w:val="20"/>
              </w:rPr>
              <w:t xml:space="preserve"> nómina de acuerdo con el cronograma para la implementación del uso y aplicaciones de las bases de datos del sistema </w:t>
            </w:r>
            <w:proofErr w:type="spellStart"/>
            <w:r>
              <w:rPr>
                <w:color w:val="000000"/>
                <w:sz w:val="20"/>
                <w:szCs w:val="20"/>
              </w:rPr>
              <w:t>SIGEP</w:t>
            </w:r>
            <w:proofErr w:type="spellEnd"/>
            <w:r>
              <w:rPr>
                <w:color w:val="000000"/>
                <w:sz w:val="20"/>
                <w:szCs w:val="20"/>
              </w:rPr>
              <w:t xml:space="preserve"> nómina: -Se remite prórroga contrato 186 de 2019 con el proveedor </w:t>
            </w:r>
            <w:proofErr w:type="spellStart"/>
            <w:r>
              <w:rPr>
                <w:color w:val="000000"/>
                <w:sz w:val="20"/>
                <w:szCs w:val="20"/>
              </w:rPr>
              <w:t>Heinsohn</w:t>
            </w:r>
            <w:proofErr w:type="spellEnd"/>
            <w:r>
              <w:rPr>
                <w:color w:val="000000"/>
                <w:sz w:val="20"/>
                <w:szCs w:val="20"/>
              </w:rPr>
              <w:t>.</w:t>
            </w:r>
          </w:p>
        </w:tc>
      </w:tr>
      <w:tr w:rsidR="006164A7" w:rsidRPr="001D3934" w:rsidTr="00B90824">
        <w:trPr>
          <w:trHeight w:val="60"/>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Gestión talento humano</w:t>
            </w:r>
          </w:p>
        </w:tc>
        <w:tc>
          <w:tcPr>
            <w:tcW w:w="1985" w:type="dxa"/>
            <w:shd w:val="clear" w:color="auto" w:fill="auto"/>
            <w:vAlign w:val="center"/>
            <w:hideMark/>
          </w:tcPr>
          <w:p w:rsidR="006164A7" w:rsidRDefault="006164A7">
            <w:pPr>
              <w:rPr>
                <w:color w:val="000000"/>
                <w:sz w:val="20"/>
                <w:szCs w:val="20"/>
              </w:rPr>
            </w:pPr>
            <w:r>
              <w:rPr>
                <w:color w:val="000000"/>
                <w:sz w:val="20"/>
                <w:szCs w:val="20"/>
              </w:rPr>
              <w:t>Implementación del Plan de Bienestar e Incentivos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Se realizó el diagnóstico de necesidades de bienestar, el cual fue el insumo para la elaboración del Programa de Bienestar e Incentivos y se publicó en la página web en el mes de enero de 2019.  Se dio cumplimiento al  Plan de Bienestar e Incentivos Institucionales a través de las diferentes actividades en las cuales participaron los servidores públicos de la ADR</w:t>
            </w:r>
          </w:p>
        </w:tc>
      </w:tr>
      <w:tr w:rsidR="006164A7" w:rsidRPr="001D3934" w:rsidTr="00B90824">
        <w:trPr>
          <w:trHeight w:val="1021"/>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t>Gestión talento humano</w:t>
            </w:r>
          </w:p>
        </w:tc>
        <w:tc>
          <w:tcPr>
            <w:tcW w:w="1985" w:type="dxa"/>
            <w:shd w:val="clear" w:color="auto" w:fill="auto"/>
            <w:vAlign w:val="center"/>
            <w:hideMark/>
          </w:tcPr>
          <w:p w:rsidR="006164A7" w:rsidRDefault="006164A7">
            <w:pPr>
              <w:rPr>
                <w:color w:val="000000"/>
                <w:sz w:val="20"/>
                <w:szCs w:val="20"/>
              </w:rPr>
            </w:pPr>
            <w:r>
              <w:rPr>
                <w:color w:val="000000"/>
                <w:sz w:val="20"/>
                <w:szCs w:val="20"/>
              </w:rPr>
              <w:t>Implementación del Plan de Capacitación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Se han realizado capacitaciones en gestión documental, gestión Seguridad y protección de la información, herramientas ofimáticas (Excel), aplicativo Ulises (cambios efectuados, inclusión de formatos, observaciones), aplicativo ARANDA, Código Único Disciplinario,  Derechos Humanos, Normas y Procedimientos para la estructuración de proyectos de adecuación de tierras, Liderazgo y Relaciones Sociales, Neurolingüística, aplicativo ORFEO, seguros </w:t>
            </w:r>
            <w:r>
              <w:rPr>
                <w:color w:val="000000"/>
                <w:sz w:val="20"/>
                <w:szCs w:val="20"/>
              </w:rPr>
              <w:lastRenderedPageBreak/>
              <w:t>(tipos de seguros, niveles de riesgo), conciencia pensional, derecho de petición, Ley 1876 de Extensión Agropecuaria, Uso Información Geográfica para la localización predial.</w:t>
            </w:r>
          </w:p>
        </w:tc>
      </w:tr>
      <w:tr w:rsidR="006164A7" w:rsidRPr="001D3934" w:rsidTr="00B90824">
        <w:trPr>
          <w:trHeight w:val="60"/>
        </w:trPr>
        <w:tc>
          <w:tcPr>
            <w:tcW w:w="1985" w:type="dxa"/>
            <w:vAlign w:val="center"/>
          </w:tcPr>
          <w:p w:rsidR="006164A7" w:rsidRDefault="006164A7">
            <w:pPr>
              <w:rPr>
                <w:rFonts w:ascii="Calibri" w:hAnsi="Calibri"/>
                <w:color w:val="000000"/>
                <w:sz w:val="22"/>
                <w:szCs w:val="22"/>
              </w:rPr>
            </w:pPr>
            <w:r>
              <w:rPr>
                <w:rFonts w:ascii="Calibri" w:hAnsi="Calibri"/>
                <w:color w:val="000000"/>
                <w:sz w:val="22"/>
                <w:szCs w:val="22"/>
              </w:rPr>
              <w:lastRenderedPageBreak/>
              <w:t>Gestión talento humano</w:t>
            </w:r>
          </w:p>
        </w:tc>
        <w:tc>
          <w:tcPr>
            <w:tcW w:w="1985" w:type="dxa"/>
            <w:shd w:val="clear" w:color="auto" w:fill="auto"/>
            <w:vAlign w:val="center"/>
            <w:hideMark/>
          </w:tcPr>
          <w:p w:rsidR="006164A7" w:rsidRDefault="006164A7">
            <w:pPr>
              <w:rPr>
                <w:color w:val="000000"/>
                <w:sz w:val="20"/>
                <w:szCs w:val="20"/>
              </w:rPr>
            </w:pPr>
            <w:r>
              <w:rPr>
                <w:color w:val="000000"/>
                <w:sz w:val="20"/>
                <w:szCs w:val="20"/>
              </w:rPr>
              <w:t>Implementación del Plan de Trabajo Anual en Seguridad y Salud en el Trabajo 2019</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Mensualmente se desarrollan diferentes actividades dirigidas a la implementación del plan de trabajo en seguridad y salud en el trabajo, tales como: reporte de personal realizando trabajo en alturas, medición Confort térmico, sensibilización por Riesgo Uso del celular, capacitación de orden y aseo, programación de capacitación primeros auxilios, dotación de botiquines, revisión y elaboración de consolidados de Exámenes periódicos 2019, identificación de personal en Condición de discapacidad, sensibilización en estilos de vida saludable relacionados alimentación saludable, seguimiento ausentismo por incapacidades médicas , sensibilización de riesgo psicosocial, capacitación sobre acoso laboral, entre otras.</w:t>
            </w:r>
          </w:p>
        </w:tc>
      </w:tr>
      <w:tr w:rsidR="006164A7" w:rsidRPr="001D3934" w:rsidTr="006164A7">
        <w:trPr>
          <w:trHeight w:val="60"/>
        </w:trPr>
        <w:tc>
          <w:tcPr>
            <w:tcW w:w="1985" w:type="dxa"/>
          </w:tcPr>
          <w:p w:rsidR="006164A7" w:rsidRDefault="006164A7" w:rsidP="006164A7">
            <w:pPr>
              <w:jc w:val="both"/>
              <w:rPr>
                <w:rFonts w:ascii="Calibri" w:hAnsi="Calibri"/>
                <w:color w:val="000000"/>
                <w:sz w:val="22"/>
                <w:szCs w:val="22"/>
              </w:rPr>
            </w:pPr>
            <w:r>
              <w:rPr>
                <w:rFonts w:ascii="Calibri" w:hAnsi="Calibri"/>
                <w:color w:val="000000"/>
                <w:sz w:val="22"/>
                <w:szCs w:val="22"/>
              </w:rPr>
              <w:t>Gestión de tecnologías de la información</w:t>
            </w:r>
          </w:p>
          <w:p w:rsidR="006164A7" w:rsidRDefault="006164A7">
            <w:pPr>
              <w:jc w:val="both"/>
              <w:rPr>
                <w:color w:val="000000"/>
                <w:sz w:val="20"/>
                <w:szCs w:val="20"/>
              </w:rPr>
            </w:pPr>
          </w:p>
        </w:tc>
        <w:tc>
          <w:tcPr>
            <w:tcW w:w="1985" w:type="dxa"/>
            <w:shd w:val="clear" w:color="auto" w:fill="auto"/>
            <w:vAlign w:val="center"/>
            <w:hideMark/>
          </w:tcPr>
          <w:p w:rsidR="006164A7" w:rsidRDefault="006164A7">
            <w:pPr>
              <w:jc w:val="both"/>
              <w:rPr>
                <w:color w:val="000000"/>
                <w:sz w:val="20"/>
                <w:szCs w:val="20"/>
              </w:rPr>
            </w:pPr>
            <w:r>
              <w:rPr>
                <w:color w:val="000000"/>
                <w:sz w:val="20"/>
                <w:szCs w:val="20"/>
              </w:rPr>
              <w:t>Índice de prestación de servicios de TI</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Se realizó soporte técnico de acuerdo con requerimientos presentados a través de la aplicación Mesa de Servicios. Se visitaron  </w:t>
            </w:r>
            <w:proofErr w:type="spellStart"/>
            <w:r>
              <w:rPr>
                <w:color w:val="000000"/>
                <w:sz w:val="20"/>
                <w:szCs w:val="20"/>
              </w:rPr>
              <w:t>UTTs</w:t>
            </w:r>
            <w:proofErr w:type="spellEnd"/>
            <w:r>
              <w:rPr>
                <w:color w:val="000000"/>
                <w:sz w:val="20"/>
                <w:szCs w:val="20"/>
              </w:rPr>
              <w:t xml:space="preserve">  con la finalidad de solucionar temas de conectividad entre computadores y la sede central de la ADR. Se adquieren equipos MAC para apoyar actividades de la oficina de comunicaciones de la ADR, así mismo de adquirió el soporte y </w:t>
            </w:r>
            <w:r>
              <w:rPr>
                <w:color w:val="000000"/>
                <w:sz w:val="20"/>
                <w:szCs w:val="20"/>
              </w:rPr>
              <w:lastRenderedPageBreak/>
              <w:t xml:space="preserve">mantenimiento de la suite de </w:t>
            </w:r>
            <w:proofErr w:type="spellStart"/>
            <w:r>
              <w:rPr>
                <w:color w:val="000000"/>
                <w:sz w:val="20"/>
                <w:szCs w:val="20"/>
              </w:rPr>
              <w:t>ArcGis</w:t>
            </w:r>
            <w:proofErr w:type="spellEnd"/>
            <w:r>
              <w:rPr>
                <w:color w:val="000000"/>
                <w:sz w:val="20"/>
                <w:szCs w:val="20"/>
              </w:rPr>
              <w:t xml:space="preserve"> como apoyo a las actividades de la dirección de adecuación tierras, dirección de asistencia técnica y demás áreas que realizan georreferenciación a través de sus actividades.</w:t>
            </w:r>
          </w:p>
        </w:tc>
      </w:tr>
      <w:tr w:rsidR="006164A7" w:rsidRPr="001D3934" w:rsidTr="006164A7">
        <w:trPr>
          <w:trHeight w:val="1200"/>
        </w:trPr>
        <w:tc>
          <w:tcPr>
            <w:tcW w:w="1985" w:type="dxa"/>
          </w:tcPr>
          <w:p w:rsidR="006164A7" w:rsidRDefault="006164A7" w:rsidP="006164A7">
            <w:pPr>
              <w:jc w:val="both"/>
              <w:rPr>
                <w:rFonts w:ascii="Calibri" w:hAnsi="Calibri"/>
                <w:color w:val="000000"/>
                <w:sz w:val="22"/>
                <w:szCs w:val="22"/>
              </w:rPr>
            </w:pPr>
            <w:r>
              <w:rPr>
                <w:rFonts w:ascii="Calibri" w:hAnsi="Calibri"/>
                <w:color w:val="000000"/>
                <w:sz w:val="22"/>
                <w:szCs w:val="22"/>
              </w:rPr>
              <w:lastRenderedPageBreak/>
              <w:t>Asesoría y defensa jurídica</w:t>
            </w:r>
          </w:p>
          <w:p w:rsidR="006164A7" w:rsidRDefault="006164A7">
            <w:pPr>
              <w:jc w:val="both"/>
              <w:rPr>
                <w:color w:val="000000"/>
                <w:sz w:val="20"/>
                <w:szCs w:val="20"/>
              </w:rPr>
            </w:pPr>
          </w:p>
        </w:tc>
        <w:tc>
          <w:tcPr>
            <w:tcW w:w="1985" w:type="dxa"/>
            <w:shd w:val="clear" w:color="auto" w:fill="auto"/>
            <w:vAlign w:val="center"/>
            <w:hideMark/>
          </w:tcPr>
          <w:p w:rsidR="006164A7" w:rsidRDefault="006164A7">
            <w:pPr>
              <w:jc w:val="both"/>
              <w:rPr>
                <w:color w:val="000000"/>
                <w:sz w:val="20"/>
                <w:szCs w:val="20"/>
              </w:rPr>
            </w:pPr>
            <w:r>
              <w:rPr>
                <w:color w:val="000000"/>
                <w:sz w:val="20"/>
                <w:szCs w:val="20"/>
              </w:rPr>
              <w:t xml:space="preserve">Informes remitidos al </w:t>
            </w:r>
            <w:proofErr w:type="spellStart"/>
            <w:r>
              <w:rPr>
                <w:color w:val="000000"/>
                <w:sz w:val="20"/>
                <w:szCs w:val="20"/>
              </w:rPr>
              <w:t>MADR</w:t>
            </w:r>
            <w:proofErr w:type="spellEnd"/>
            <w:r>
              <w:rPr>
                <w:color w:val="000000"/>
                <w:sz w:val="20"/>
                <w:szCs w:val="20"/>
              </w:rPr>
              <w:t xml:space="preserve"> en cumplimiento a lo dispuesto en la Circular de fecha 8 de julio de 2015</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4</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 xml:space="preserve">Se elaboró el informe </w:t>
            </w:r>
            <w:proofErr w:type="spellStart"/>
            <w:r>
              <w:rPr>
                <w:color w:val="000000"/>
                <w:sz w:val="20"/>
                <w:szCs w:val="20"/>
              </w:rPr>
              <w:t>SIPOV</w:t>
            </w:r>
            <w:proofErr w:type="spellEnd"/>
            <w:r>
              <w:rPr>
                <w:color w:val="000000"/>
                <w:sz w:val="20"/>
                <w:szCs w:val="20"/>
              </w:rPr>
              <w:t xml:space="preserve"> Atención y Cumplimiento a órdenes de Restitución de Tierras con corte a 31 de diciembre de 2019.</w:t>
            </w:r>
          </w:p>
        </w:tc>
      </w:tr>
      <w:tr w:rsidR="006164A7" w:rsidRPr="001D3934" w:rsidTr="006164A7">
        <w:trPr>
          <w:trHeight w:val="600"/>
        </w:trPr>
        <w:tc>
          <w:tcPr>
            <w:tcW w:w="1985" w:type="dxa"/>
          </w:tcPr>
          <w:p w:rsidR="006164A7" w:rsidRDefault="006164A7" w:rsidP="006164A7">
            <w:pPr>
              <w:jc w:val="both"/>
              <w:rPr>
                <w:rFonts w:ascii="Calibri" w:hAnsi="Calibri"/>
                <w:color w:val="000000"/>
                <w:sz w:val="22"/>
                <w:szCs w:val="22"/>
              </w:rPr>
            </w:pPr>
            <w:r>
              <w:rPr>
                <w:rFonts w:ascii="Calibri" w:hAnsi="Calibri"/>
                <w:color w:val="000000"/>
                <w:sz w:val="22"/>
                <w:szCs w:val="22"/>
              </w:rPr>
              <w:t>Gestión contractual</w:t>
            </w:r>
          </w:p>
          <w:p w:rsidR="006164A7" w:rsidRDefault="006164A7">
            <w:pPr>
              <w:jc w:val="both"/>
              <w:rPr>
                <w:color w:val="000000"/>
                <w:sz w:val="20"/>
                <w:szCs w:val="20"/>
              </w:rPr>
            </w:pPr>
          </w:p>
        </w:tc>
        <w:tc>
          <w:tcPr>
            <w:tcW w:w="1985" w:type="dxa"/>
            <w:shd w:val="clear" w:color="auto" w:fill="auto"/>
            <w:vAlign w:val="center"/>
            <w:hideMark/>
          </w:tcPr>
          <w:p w:rsidR="006164A7" w:rsidRDefault="006164A7">
            <w:pPr>
              <w:jc w:val="both"/>
              <w:rPr>
                <w:color w:val="000000"/>
                <w:sz w:val="20"/>
                <w:szCs w:val="20"/>
              </w:rPr>
            </w:pPr>
            <w:r>
              <w:rPr>
                <w:color w:val="000000"/>
                <w:sz w:val="20"/>
                <w:szCs w:val="20"/>
              </w:rPr>
              <w:t>Liquidaciones suscritas durante el mes</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11</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109.09 %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En lo corrido del año se han suscrito 78 liquidaciones, registrándolas en los informes mensuales de avance.</w:t>
            </w:r>
          </w:p>
        </w:tc>
      </w:tr>
      <w:tr w:rsidR="006164A7" w:rsidRPr="001D3934" w:rsidTr="006164A7">
        <w:trPr>
          <w:trHeight w:val="2439"/>
        </w:trPr>
        <w:tc>
          <w:tcPr>
            <w:tcW w:w="1985" w:type="dxa"/>
          </w:tcPr>
          <w:p w:rsidR="006164A7" w:rsidRDefault="006164A7" w:rsidP="006164A7">
            <w:pPr>
              <w:jc w:val="both"/>
              <w:rPr>
                <w:rFonts w:ascii="Calibri" w:hAnsi="Calibri"/>
                <w:color w:val="000000"/>
                <w:sz w:val="22"/>
                <w:szCs w:val="22"/>
              </w:rPr>
            </w:pPr>
            <w:r>
              <w:rPr>
                <w:rFonts w:ascii="Calibri" w:hAnsi="Calibri"/>
                <w:color w:val="000000"/>
                <w:sz w:val="22"/>
                <w:szCs w:val="22"/>
              </w:rPr>
              <w:t>Participación y atención al ciudadano</w:t>
            </w:r>
          </w:p>
          <w:p w:rsidR="006164A7" w:rsidRPr="006164A7" w:rsidRDefault="006164A7">
            <w:pPr>
              <w:jc w:val="both"/>
              <w:rPr>
                <w:color w:val="000000"/>
                <w:sz w:val="20"/>
                <w:szCs w:val="20"/>
                <w:lang w:val="es-CO"/>
              </w:rPr>
            </w:pPr>
          </w:p>
        </w:tc>
        <w:tc>
          <w:tcPr>
            <w:tcW w:w="1985" w:type="dxa"/>
            <w:shd w:val="clear" w:color="auto" w:fill="auto"/>
            <w:vAlign w:val="center"/>
            <w:hideMark/>
          </w:tcPr>
          <w:p w:rsidR="006164A7" w:rsidRDefault="006164A7">
            <w:pPr>
              <w:jc w:val="both"/>
              <w:rPr>
                <w:color w:val="000000"/>
                <w:sz w:val="20"/>
                <w:szCs w:val="20"/>
              </w:rPr>
            </w:pPr>
            <w:r>
              <w:rPr>
                <w:color w:val="000000"/>
                <w:sz w:val="20"/>
                <w:szCs w:val="20"/>
              </w:rPr>
              <w:t>Mejoramiento de la Atención al Ciudadano</w:t>
            </w:r>
          </w:p>
        </w:tc>
        <w:tc>
          <w:tcPr>
            <w:tcW w:w="709"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6164A7" w:rsidRDefault="006164A7"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6164A7" w:rsidRDefault="006164A7">
            <w:pPr>
              <w:jc w:val="both"/>
              <w:rPr>
                <w:color w:val="000000"/>
                <w:sz w:val="20"/>
                <w:szCs w:val="20"/>
              </w:rPr>
            </w:pPr>
            <w:r>
              <w:rPr>
                <w:color w:val="000000"/>
                <w:sz w:val="20"/>
                <w:szCs w:val="20"/>
              </w:rPr>
              <w:t>1. El Foro Virtual se realizó del 15 de octubre al 14 de noviembre. Ingresaron 35 ciudadanos y se presentó el informe correspondiente a revisión. 2. Se publicó en el mes de febrero la versión 2 del portafolio de trámites y servicios. 3. La publicación para la divulgación del portafolio de trámites y servicios culminó el 30 de septiembre. 4. Se realizaron capacitaciones en lengua de señas los días 5 y 12 de diciembre. Se generó el informe trimestral para  hacer el seguimiento correspondiente del mes.</w:t>
            </w:r>
          </w:p>
        </w:tc>
      </w:tr>
      <w:tr w:rsidR="00B106F8" w:rsidRPr="001D3934" w:rsidTr="00B90824">
        <w:trPr>
          <w:trHeight w:val="2149"/>
        </w:trPr>
        <w:tc>
          <w:tcPr>
            <w:tcW w:w="1985" w:type="dxa"/>
            <w:vAlign w:val="center"/>
          </w:tcPr>
          <w:p w:rsidR="00B106F8" w:rsidRDefault="00B106F8" w:rsidP="00B106F8">
            <w:pPr>
              <w:rPr>
                <w:rFonts w:ascii="Calibri" w:hAnsi="Calibri"/>
                <w:color w:val="000000"/>
                <w:sz w:val="22"/>
                <w:szCs w:val="22"/>
              </w:rPr>
            </w:pPr>
            <w:r>
              <w:rPr>
                <w:rFonts w:ascii="Calibri" w:hAnsi="Calibri"/>
                <w:color w:val="000000"/>
                <w:sz w:val="22"/>
                <w:szCs w:val="22"/>
              </w:rPr>
              <w:lastRenderedPageBreak/>
              <w:t>Administración del sistema integrado de gestión</w:t>
            </w:r>
          </w:p>
          <w:p w:rsidR="00B106F8" w:rsidRDefault="00B106F8">
            <w:pPr>
              <w:rPr>
                <w:rFonts w:ascii="Calibri" w:hAnsi="Calibri"/>
                <w:color w:val="000000"/>
                <w:sz w:val="22"/>
                <w:szCs w:val="22"/>
              </w:rPr>
            </w:pPr>
          </w:p>
        </w:tc>
        <w:tc>
          <w:tcPr>
            <w:tcW w:w="1985" w:type="dxa"/>
            <w:shd w:val="clear" w:color="auto" w:fill="auto"/>
            <w:vAlign w:val="center"/>
            <w:hideMark/>
          </w:tcPr>
          <w:p w:rsidR="00B106F8" w:rsidRDefault="00B106F8">
            <w:pPr>
              <w:jc w:val="both"/>
              <w:rPr>
                <w:color w:val="000000"/>
                <w:sz w:val="20"/>
                <w:szCs w:val="20"/>
              </w:rPr>
            </w:pPr>
            <w:r>
              <w:rPr>
                <w:color w:val="000000"/>
                <w:sz w:val="20"/>
                <w:szCs w:val="20"/>
              </w:rPr>
              <w:t>Nivel de actualización del desarrollo del sistema de gestión de calidad 2019</w:t>
            </w:r>
          </w:p>
        </w:tc>
        <w:tc>
          <w:tcPr>
            <w:tcW w:w="709" w:type="dxa"/>
            <w:shd w:val="clear" w:color="auto" w:fill="auto"/>
            <w:noWrap/>
            <w:vAlign w:val="center"/>
            <w:hideMark/>
          </w:tcPr>
          <w:p w:rsidR="00B106F8" w:rsidRDefault="00B106F8"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B106F8" w:rsidRDefault="00B106F8" w:rsidP="00A62769">
            <w:pPr>
              <w:jc w:val="center"/>
              <w:rPr>
                <w:color w:val="000000"/>
                <w:sz w:val="20"/>
                <w:szCs w:val="20"/>
              </w:rPr>
            </w:pPr>
            <w:r>
              <w:rPr>
                <w:color w:val="000000"/>
                <w:sz w:val="20"/>
                <w:szCs w:val="20"/>
              </w:rPr>
              <w:t>83 %</w:t>
            </w:r>
          </w:p>
        </w:tc>
        <w:tc>
          <w:tcPr>
            <w:tcW w:w="2977" w:type="dxa"/>
            <w:gridSpan w:val="2"/>
            <w:shd w:val="clear" w:color="auto" w:fill="auto"/>
            <w:noWrap/>
            <w:vAlign w:val="center"/>
            <w:hideMark/>
          </w:tcPr>
          <w:p w:rsidR="00B106F8" w:rsidRDefault="00B106F8">
            <w:pPr>
              <w:jc w:val="both"/>
              <w:rPr>
                <w:color w:val="000000"/>
                <w:sz w:val="20"/>
                <w:szCs w:val="20"/>
              </w:rPr>
            </w:pPr>
            <w:r>
              <w:rPr>
                <w:color w:val="000000"/>
                <w:sz w:val="20"/>
                <w:szCs w:val="20"/>
              </w:rPr>
              <w:t xml:space="preserve">Se continuó con la campaña de divulgación del sistema integrado de gestión a través de videos y divulgación en las pantallas de la ADR. Se concluyó la actualización de 18 mapas de riesgos de gestión de los procesos, y la construcción del mapa de riesgos para los 22 procesos.  Se construyeron documentos de los procesos de comercialización y extensión agropecuaria, además de la actualización de documentos de  otros procesos. Se realizó reunión de seguimiento sobre la implementación del Modelo de Seguridad de la información con la </w:t>
            </w:r>
            <w:proofErr w:type="spellStart"/>
            <w:r>
              <w:rPr>
                <w:color w:val="000000"/>
                <w:sz w:val="20"/>
                <w:szCs w:val="20"/>
              </w:rPr>
              <w:t>OTI</w:t>
            </w:r>
            <w:proofErr w:type="spellEnd"/>
            <w:r>
              <w:rPr>
                <w:color w:val="000000"/>
                <w:sz w:val="20"/>
                <w:szCs w:val="20"/>
              </w:rPr>
              <w:t>, as acciones de mejora de los procesos y el plan de implementación del Sistema de Seguridad y Salud en el Trabajo, lo cual se presentó en forma general en el informe de Revisión por la Dirección al Comité Institucional de Gestión y Desempeño del 19 de diciembre.</w:t>
            </w:r>
          </w:p>
        </w:tc>
      </w:tr>
      <w:tr w:rsidR="00B106F8" w:rsidRPr="001D3934" w:rsidTr="00B90824">
        <w:trPr>
          <w:trHeight w:val="1440"/>
        </w:trPr>
        <w:tc>
          <w:tcPr>
            <w:tcW w:w="1985" w:type="dxa"/>
            <w:vAlign w:val="center"/>
          </w:tcPr>
          <w:p w:rsidR="00B106F8" w:rsidRDefault="00B106F8" w:rsidP="00B90824">
            <w:pPr>
              <w:rPr>
                <w:rFonts w:ascii="Calibri" w:hAnsi="Calibri"/>
                <w:color w:val="000000"/>
                <w:sz w:val="22"/>
                <w:szCs w:val="22"/>
              </w:rPr>
            </w:pPr>
            <w:r>
              <w:rPr>
                <w:rFonts w:ascii="Calibri" w:hAnsi="Calibri"/>
                <w:color w:val="000000"/>
                <w:sz w:val="22"/>
                <w:szCs w:val="22"/>
              </w:rPr>
              <w:t>Administración del sistema integrado de gestión</w:t>
            </w:r>
          </w:p>
          <w:p w:rsidR="00B106F8" w:rsidRDefault="00B106F8" w:rsidP="00B90824">
            <w:pPr>
              <w:rPr>
                <w:rFonts w:ascii="Calibri" w:hAnsi="Calibri"/>
                <w:color w:val="000000"/>
                <w:sz w:val="22"/>
                <w:szCs w:val="22"/>
              </w:rPr>
            </w:pPr>
          </w:p>
        </w:tc>
        <w:tc>
          <w:tcPr>
            <w:tcW w:w="1985" w:type="dxa"/>
            <w:shd w:val="clear" w:color="auto" w:fill="auto"/>
            <w:vAlign w:val="center"/>
            <w:hideMark/>
          </w:tcPr>
          <w:p w:rsidR="00B106F8" w:rsidRDefault="00B106F8">
            <w:pPr>
              <w:jc w:val="both"/>
              <w:rPr>
                <w:color w:val="000000"/>
                <w:sz w:val="20"/>
                <w:szCs w:val="20"/>
              </w:rPr>
            </w:pPr>
            <w:r>
              <w:rPr>
                <w:color w:val="000000"/>
                <w:sz w:val="20"/>
                <w:szCs w:val="20"/>
              </w:rPr>
              <w:t>Nivel de avance en el diseño e implementación del sistema de gestión ambiental 2019</w:t>
            </w:r>
          </w:p>
        </w:tc>
        <w:tc>
          <w:tcPr>
            <w:tcW w:w="709" w:type="dxa"/>
            <w:shd w:val="clear" w:color="auto" w:fill="auto"/>
            <w:noWrap/>
            <w:vAlign w:val="center"/>
            <w:hideMark/>
          </w:tcPr>
          <w:p w:rsidR="00B106F8" w:rsidRDefault="00B106F8" w:rsidP="00A62769">
            <w:pPr>
              <w:jc w:val="center"/>
              <w:rPr>
                <w:color w:val="000000"/>
                <w:sz w:val="20"/>
                <w:szCs w:val="20"/>
              </w:rPr>
            </w:pPr>
            <w:r>
              <w:rPr>
                <w:color w:val="000000"/>
                <w:sz w:val="20"/>
                <w:szCs w:val="20"/>
              </w:rPr>
              <w:t>45</w:t>
            </w:r>
          </w:p>
        </w:tc>
        <w:tc>
          <w:tcPr>
            <w:tcW w:w="1350" w:type="dxa"/>
            <w:shd w:val="clear" w:color="auto" w:fill="auto"/>
            <w:noWrap/>
            <w:vAlign w:val="center"/>
            <w:hideMark/>
          </w:tcPr>
          <w:p w:rsidR="00B106F8" w:rsidRDefault="00B106F8" w:rsidP="00A62769">
            <w:pPr>
              <w:jc w:val="center"/>
              <w:rPr>
                <w:color w:val="000000"/>
                <w:sz w:val="20"/>
                <w:szCs w:val="20"/>
              </w:rPr>
            </w:pPr>
            <w:r>
              <w:rPr>
                <w:color w:val="000000"/>
                <w:sz w:val="20"/>
                <w:szCs w:val="20"/>
              </w:rPr>
              <w:t>93.33 %</w:t>
            </w:r>
          </w:p>
        </w:tc>
        <w:tc>
          <w:tcPr>
            <w:tcW w:w="2977" w:type="dxa"/>
            <w:gridSpan w:val="2"/>
            <w:shd w:val="clear" w:color="auto" w:fill="auto"/>
            <w:noWrap/>
            <w:vAlign w:val="center"/>
            <w:hideMark/>
          </w:tcPr>
          <w:p w:rsidR="00B106F8" w:rsidRDefault="00B106F8">
            <w:pPr>
              <w:jc w:val="both"/>
              <w:rPr>
                <w:color w:val="000000"/>
                <w:sz w:val="20"/>
                <w:szCs w:val="20"/>
              </w:rPr>
            </w:pPr>
            <w:r>
              <w:rPr>
                <w:color w:val="000000"/>
                <w:sz w:val="20"/>
                <w:szCs w:val="20"/>
              </w:rPr>
              <w:t xml:space="preserve">Se finalizó la construcción de 20 matrices de impactos y aspectos ambientales adicionales y se generaron los documentos matriz legal ambiental, política de uso de materiales de material reciclado, Criterios ambientales para la compra de productos y servicios_v1 MO-SIG-003 Formato de entrega a </w:t>
            </w:r>
            <w:proofErr w:type="spellStart"/>
            <w:r>
              <w:rPr>
                <w:color w:val="000000"/>
                <w:sz w:val="20"/>
                <w:szCs w:val="20"/>
              </w:rPr>
              <w:t>lúmina</w:t>
            </w:r>
            <w:proofErr w:type="spellEnd"/>
            <w:r>
              <w:rPr>
                <w:color w:val="000000"/>
                <w:sz w:val="20"/>
                <w:szCs w:val="20"/>
              </w:rPr>
              <w:t xml:space="preserve"> de residuos de iluminación_v1 F-SIG-005 Gestión de aspectos e impactos ambientales_v2 PR-SIG-008 Indicadores </w:t>
            </w:r>
            <w:r>
              <w:rPr>
                <w:color w:val="000000"/>
                <w:sz w:val="20"/>
                <w:szCs w:val="20"/>
              </w:rPr>
              <w:lastRenderedPageBreak/>
              <w:t xml:space="preserve">ambientales adr_v1 F-SIG-004 Plan de gestión integral de residuos peligrosos_v1 MO-DER-002 Programa de sostenibilidad ambiental_v1 MO-DER-001 Documentos disponibles en </w:t>
            </w:r>
            <w:proofErr w:type="spellStart"/>
            <w:r>
              <w:rPr>
                <w:color w:val="000000"/>
                <w:sz w:val="20"/>
                <w:szCs w:val="20"/>
              </w:rPr>
              <w:t>ISOLUCIÓN</w:t>
            </w:r>
            <w:proofErr w:type="spellEnd"/>
            <w:r>
              <w:rPr>
                <w:color w:val="000000"/>
                <w:sz w:val="20"/>
                <w:szCs w:val="20"/>
              </w:rPr>
              <w:t xml:space="preserve"> listado maestro de documentos</w:t>
            </w:r>
          </w:p>
        </w:tc>
      </w:tr>
      <w:tr w:rsidR="00B106F8" w:rsidRPr="001D3934" w:rsidTr="00B90824">
        <w:trPr>
          <w:trHeight w:val="1969"/>
        </w:trPr>
        <w:tc>
          <w:tcPr>
            <w:tcW w:w="1985" w:type="dxa"/>
            <w:vAlign w:val="center"/>
          </w:tcPr>
          <w:p w:rsidR="00B106F8" w:rsidRDefault="00B106F8" w:rsidP="00B90824">
            <w:pPr>
              <w:rPr>
                <w:rFonts w:ascii="Calibri" w:hAnsi="Calibri"/>
                <w:color w:val="000000"/>
                <w:sz w:val="22"/>
                <w:szCs w:val="22"/>
              </w:rPr>
            </w:pPr>
            <w:r>
              <w:rPr>
                <w:rFonts w:ascii="Calibri" w:hAnsi="Calibri"/>
                <w:color w:val="000000"/>
                <w:sz w:val="22"/>
                <w:szCs w:val="22"/>
              </w:rPr>
              <w:lastRenderedPageBreak/>
              <w:t>Administración del sistema integrado de gestión</w:t>
            </w:r>
          </w:p>
          <w:p w:rsidR="00B106F8" w:rsidRDefault="00B106F8" w:rsidP="00B90824">
            <w:pPr>
              <w:rPr>
                <w:rFonts w:ascii="Calibri" w:hAnsi="Calibri"/>
                <w:color w:val="000000"/>
                <w:sz w:val="22"/>
                <w:szCs w:val="22"/>
              </w:rPr>
            </w:pPr>
          </w:p>
        </w:tc>
        <w:tc>
          <w:tcPr>
            <w:tcW w:w="1985" w:type="dxa"/>
            <w:shd w:val="clear" w:color="auto" w:fill="auto"/>
            <w:vAlign w:val="center"/>
            <w:hideMark/>
          </w:tcPr>
          <w:p w:rsidR="00B106F8" w:rsidRDefault="00B106F8">
            <w:pPr>
              <w:jc w:val="both"/>
              <w:rPr>
                <w:color w:val="000000"/>
                <w:sz w:val="20"/>
                <w:szCs w:val="20"/>
              </w:rPr>
            </w:pPr>
            <w:r>
              <w:rPr>
                <w:color w:val="000000"/>
                <w:sz w:val="20"/>
                <w:szCs w:val="20"/>
              </w:rPr>
              <w:t xml:space="preserve">Nivel de avance en la actualización e inscripción de los trámites de </w:t>
            </w:r>
            <w:proofErr w:type="spellStart"/>
            <w:r>
              <w:rPr>
                <w:color w:val="000000"/>
                <w:sz w:val="20"/>
                <w:szCs w:val="20"/>
              </w:rPr>
              <w:t>OPAs</w:t>
            </w:r>
            <w:proofErr w:type="spellEnd"/>
            <w:r>
              <w:rPr>
                <w:color w:val="000000"/>
                <w:sz w:val="20"/>
                <w:szCs w:val="20"/>
              </w:rPr>
              <w:t xml:space="preserve"> en las instancias correspondientes 2019</w:t>
            </w:r>
          </w:p>
        </w:tc>
        <w:tc>
          <w:tcPr>
            <w:tcW w:w="709" w:type="dxa"/>
            <w:shd w:val="clear" w:color="auto" w:fill="auto"/>
            <w:noWrap/>
            <w:vAlign w:val="center"/>
            <w:hideMark/>
          </w:tcPr>
          <w:p w:rsidR="00B106F8" w:rsidRDefault="00B106F8"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B106F8" w:rsidRDefault="00B106F8"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B106F8" w:rsidRDefault="00B106F8">
            <w:pPr>
              <w:jc w:val="both"/>
              <w:rPr>
                <w:color w:val="000000"/>
                <w:sz w:val="20"/>
                <w:szCs w:val="20"/>
              </w:rPr>
            </w:pPr>
            <w:r>
              <w:rPr>
                <w:color w:val="000000"/>
                <w:sz w:val="20"/>
                <w:szCs w:val="20"/>
              </w:rPr>
              <w:t xml:space="preserve">Se adelantó la inscripción del trámite de habilitación de </w:t>
            </w:r>
            <w:proofErr w:type="spellStart"/>
            <w:r>
              <w:rPr>
                <w:color w:val="000000"/>
                <w:sz w:val="20"/>
                <w:szCs w:val="20"/>
              </w:rPr>
              <w:t>EPSEAS</w:t>
            </w:r>
            <w:proofErr w:type="spellEnd"/>
            <w:r>
              <w:rPr>
                <w:color w:val="000000"/>
                <w:sz w:val="20"/>
                <w:szCs w:val="20"/>
              </w:rPr>
              <w:t xml:space="preserve"> en el aplicativo del </w:t>
            </w:r>
            <w:proofErr w:type="spellStart"/>
            <w:r>
              <w:rPr>
                <w:color w:val="000000"/>
                <w:sz w:val="20"/>
                <w:szCs w:val="20"/>
              </w:rPr>
              <w:t>SUIT</w:t>
            </w:r>
            <w:proofErr w:type="spellEnd"/>
            <w:r>
              <w:rPr>
                <w:color w:val="000000"/>
                <w:sz w:val="20"/>
                <w:szCs w:val="20"/>
              </w:rPr>
              <w:t xml:space="preserve"> del Departamento Administrativo de la Función Pública. En el mes de Diciembre se realizaron las mesas de trabajo con la Oficina de Jurídica, Asistencia Técnica, Oficina de Planeación y la Vicepresidencia de Integración Productiva para realizar las modificaciones de la Resolución 422 de 2019.</w:t>
            </w:r>
          </w:p>
        </w:tc>
      </w:tr>
      <w:tr w:rsidR="00E72CBA" w:rsidRPr="001D3934" w:rsidTr="00B90824">
        <w:trPr>
          <w:trHeight w:val="1800"/>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Gestión de las comunicaciones</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ejecución de las actividades de acompañamiento, difusión y promoción de la gestión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Mensualmente se realiza un calendario para conocer las actividades de la Agencia de Desarrollo Rural y acompañar en su difusión y promoción.</w:t>
            </w:r>
          </w:p>
        </w:tc>
      </w:tr>
      <w:tr w:rsidR="00E72CBA" w:rsidRPr="001D3934" w:rsidTr="00B90824">
        <w:trPr>
          <w:trHeight w:val="192"/>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Gestión de las comunicaciones</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ejecución del Plan de Comunicaciones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Se expide resolución 0716 por la cual se adopta el Plan estratégico de comunicaciones 2019-2022 (diseño y aprobación del plan de comunicaciones). </w:t>
            </w:r>
          </w:p>
        </w:tc>
      </w:tr>
      <w:tr w:rsidR="00B106F8" w:rsidRPr="001D3934" w:rsidTr="00E72CBA">
        <w:trPr>
          <w:trHeight w:val="737"/>
        </w:trPr>
        <w:tc>
          <w:tcPr>
            <w:tcW w:w="1985" w:type="dxa"/>
          </w:tcPr>
          <w:p w:rsidR="00E72CBA" w:rsidRDefault="00E72CBA" w:rsidP="00E72CBA">
            <w:pPr>
              <w:rPr>
                <w:rFonts w:ascii="Calibri" w:hAnsi="Calibri"/>
                <w:color w:val="000000"/>
                <w:sz w:val="22"/>
                <w:szCs w:val="22"/>
              </w:rPr>
            </w:pPr>
            <w:r>
              <w:rPr>
                <w:rFonts w:ascii="Calibri" w:hAnsi="Calibri"/>
                <w:color w:val="000000"/>
                <w:sz w:val="22"/>
                <w:szCs w:val="22"/>
              </w:rPr>
              <w:t>Gestión de tecnologías de la información</w:t>
            </w:r>
          </w:p>
          <w:p w:rsidR="00B106F8" w:rsidRDefault="00B106F8">
            <w:pPr>
              <w:jc w:val="both"/>
              <w:rPr>
                <w:color w:val="000000"/>
                <w:sz w:val="20"/>
                <w:szCs w:val="20"/>
              </w:rPr>
            </w:pPr>
          </w:p>
        </w:tc>
        <w:tc>
          <w:tcPr>
            <w:tcW w:w="1985" w:type="dxa"/>
            <w:shd w:val="clear" w:color="auto" w:fill="auto"/>
            <w:vAlign w:val="center"/>
            <w:hideMark/>
          </w:tcPr>
          <w:p w:rsidR="00B106F8" w:rsidRDefault="00B106F8">
            <w:pPr>
              <w:jc w:val="both"/>
              <w:rPr>
                <w:color w:val="000000"/>
                <w:sz w:val="20"/>
                <w:szCs w:val="20"/>
              </w:rPr>
            </w:pPr>
            <w:r>
              <w:rPr>
                <w:color w:val="000000"/>
                <w:sz w:val="20"/>
                <w:szCs w:val="20"/>
              </w:rPr>
              <w:t>Nivel de avance en la ejecución del Plan de Seguridad y Privacidad de la Información Vigencia 2019</w:t>
            </w:r>
          </w:p>
        </w:tc>
        <w:tc>
          <w:tcPr>
            <w:tcW w:w="709" w:type="dxa"/>
            <w:shd w:val="clear" w:color="auto" w:fill="auto"/>
            <w:noWrap/>
            <w:vAlign w:val="center"/>
            <w:hideMark/>
          </w:tcPr>
          <w:p w:rsidR="00B106F8" w:rsidRDefault="00B106F8"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B106F8" w:rsidRDefault="00B106F8" w:rsidP="00A62769">
            <w:pPr>
              <w:jc w:val="center"/>
              <w:rPr>
                <w:color w:val="000000"/>
                <w:sz w:val="20"/>
                <w:szCs w:val="20"/>
              </w:rPr>
            </w:pPr>
            <w:r>
              <w:rPr>
                <w:color w:val="000000"/>
                <w:sz w:val="20"/>
                <w:szCs w:val="20"/>
              </w:rPr>
              <w:t>65 %</w:t>
            </w:r>
          </w:p>
        </w:tc>
        <w:tc>
          <w:tcPr>
            <w:tcW w:w="2977" w:type="dxa"/>
            <w:gridSpan w:val="2"/>
            <w:shd w:val="clear" w:color="auto" w:fill="auto"/>
            <w:noWrap/>
            <w:vAlign w:val="center"/>
            <w:hideMark/>
          </w:tcPr>
          <w:p w:rsidR="00B106F8" w:rsidRDefault="00B106F8">
            <w:pPr>
              <w:jc w:val="both"/>
              <w:rPr>
                <w:color w:val="000000"/>
                <w:sz w:val="20"/>
                <w:szCs w:val="20"/>
              </w:rPr>
            </w:pPr>
            <w:r>
              <w:rPr>
                <w:color w:val="000000"/>
                <w:sz w:val="20"/>
                <w:szCs w:val="20"/>
              </w:rPr>
              <w:t xml:space="preserve">Para el cierre de la vigencia se hizo entrega del plan de seguridad y privacidad de la información y se entregó por </w:t>
            </w:r>
            <w:proofErr w:type="spellStart"/>
            <w:r>
              <w:rPr>
                <w:color w:val="000000"/>
                <w:sz w:val="20"/>
                <w:szCs w:val="20"/>
              </w:rPr>
              <w:t>Lacnic</w:t>
            </w:r>
            <w:proofErr w:type="spellEnd"/>
            <w:r>
              <w:rPr>
                <w:color w:val="000000"/>
                <w:sz w:val="20"/>
                <w:szCs w:val="20"/>
              </w:rPr>
              <w:t xml:space="preserve"> del pool de direccionamiento IPV6 a nombre de la entidad.  Se envió a </w:t>
            </w:r>
            <w:proofErr w:type="spellStart"/>
            <w:r>
              <w:rPr>
                <w:color w:val="000000"/>
                <w:sz w:val="20"/>
                <w:szCs w:val="20"/>
              </w:rPr>
              <w:t>Mintic</w:t>
            </w:r>
            <w:proofErr w:type="spellEnd"/>
            <w:r>
              <w:rPr>
                <w:color w:val="000000"/>
                <w:sz w:val="20"/>
                <w:szCs w:val="20"/>
              </w:rPr>
              <w:t xml:space="preserve"> Avance de transición </w:t>
            </w:r>
            <w:r>
              <w:rPr>
                <w:color w:val="000000"/>
                <w:sz w:val="20"/>
                <w:szCs w:val="20"/>
              </w:rPr>
              <w:lastRenderedPageBreak/>
              <w:t xml:space="preserve">60% y la autoevaluación de </w:t>
            </w:r>
            <w:proofErr w:type="spellStart"/>
            <w:r>
              <w:rPr>
                <w:color w:val="000000"/>
                <w:sz w:val="20"/>
                <w:szCs w:val="20"/>
              </w:rPr>
              <w:t>MSPI</w:t>
            </w:r>
            <w:proofErr w:type="spellEnd"/>
            <w:r>
              <w:rPr>
                <w:color w:val="000000"/>
                <w:sz w:val="20"/>
                <w:szCs w:val="20"/>
              </w:rPr>
              <w:t xml:space="preserve"> a noviembre corresponde al 64%.</w:t>
            </w:r>
          </w:p>
        </w:tc>
      </w:tr>
      <w:tr w:rsidR="00B106F8" w:rsidRPr="001D3934" w:rsidTr="006164A7">
        <w:trPr>
          <w:trHeight w:val="60"/>
        </w:trPr>
        <w:tc>
          <w:tcPr>
            <w:tcW w:w="1985" w:type="dxa"/>
          </w:tcPr>
          <w:p w:rsidR="00E72CBA" w:rsidRDefault="00E72CBA" w:rsidP="00E72CBA">
            <w:pPr>
              <w:jc w:val="both"/>
              <w:rPr>
                <w:rFonts w:ascii="Calibri" w:hAnsi="Calibri"/>
                <w:color w:val="000000"/>
                <w:sz w:val="22"/>
                <w:szCs w:val="22"/>
              </w:rPr>
            </w:pPr>
            <w:r>
              <w:rPr>
                <w:rFonts w:ascii="Calibri" w:hAnsi="Calibri"/>
                <w:color w:val="000000"/>
                <w:sz w:val="22"/>
                <w:szCs w:val="22"/>
              </w:rPr>
              <w:lastRenderedPageBreak/>
              <w:t>Gestión de tecnologías de la información</w:t>
            </w:r>
          </w:p>
          <w:p w:rsidR="00B106F8" w:rsidRDefault="00B106F8">
            <w:pPr>
              <w:jc w:val="both"/>
              <w:rPr>
                <w:color w:val="000000"/>
                <w:sz w:val="20"/>
                <w:szCs w:val="20"/>
              </w:rPr>
            </w:pPr>
          </w:p>
        </w:tc>
        <w:tc>
          <w:tcPr>
            <w:tcW w:w="1985" w:type="dxa"/>
            <w:shd w:val="clear" w:color="auto" w:fill="auto"/>
            <w:vAlign w:val="center"/>
            <w:hideMark/>
          </w:tcPr>
          <w:p w:rsidR="00B106F8" w:rsidRDefault="00B106F8">
            <w:pPr>
              <w:jc w:val="both"/>
              <w:rPr>
                <w:color w:val="000000"/>
                <w:sz w:val="20"/>
                <w:szCs w:val="20"/>
              </w:rPr>
            </w:pPr>
            <w:r>
              <w:rPr>
                <w:color w:val="000000"/>
                <w:sz w:val="20"/>
                <w:szCs w:val="20"/>
              </w:rPr>
              <w:t>Nivel de avance en la ejecución del Plan de Tratamiento de Riesgos de Seguridad y Privacidad de la Información vigencia 2019</w:t>
            </w:r>
          </w:p>
        </w:tc>
        <w:tc>
          <w:tcPr>
            <w:tcW w:w="709" w:type="dxa"/>
            <w:shd w:val="clear" w:color="auto" w:fill="auto"/>
            <w:noWrap/>
            <w:vAlign w:val="center"/>
            <w:hideMark/>
          </w:tcPr>
          <w:p w:rsidR="00B106F8" w:rsidRDefault="00B106F8"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B106F8" w:rsidRDefault="00B106F8" w:rsidP="00A62769">
            <w:pPr>
              <w:jc w:val="center"/>
              <w:rPr>
                <w:color w:val="000000"/>
                <w:sz w:val="20"/>
                <w:szCs w:val="20"/>
              </w:rPr>
            </w:pPr>
            <w:r>
              <w:rPr>
                <w:color w:val="000000"/>
                <w:sz w:val="20"/>
                <w:szCs w:val="20"/>
              </w:rPr>
              <w:t>50 %</w:t>
            </w:r>
          </w:p>
        </w:tc>
        <w:tc>
          <w:tcPr>
            <w:tcW w:w="2977" w:type="dxa"/>
            <w:gridSpan w:val="2"/>
            <w:shd w:val="clear" w:color="auto" w:fill="auto"/>
            <w:noWrap/>
            <w:vAlign w:val="center"/>
            <w:hideMark/>
          </w:tcPr>
          <w:p w:rsidR="00B106F8" w:rsidRDefault="00B106F8">
            <w:pPr>
              <w:jc w:val="both"/>
              <w:rPr>
                <w:color w:val="000000"/>
                <w:sz w:val="20"/>
                <w:szCs w:val="20"/>
              </w:rPr>
            </w:pPr>
            <w:r>
              <w:rPr>
                <w:color w:val="000000"/>
                <w:sz w:val="20"/>
                <w:szCs w:val="20"/>
              </w:rPr>
              <w:t xml:space="preserve">Se realizó la evaluación de activos de información de la </w:t>
            </w:r>
            <w:proofErr w:type="spellStart"/>
            <w:r>
              <w:rPr>
                <w:color w:val="000000"/>
                <w:sz w:val="20"/>
                <w:szCs w:val="20"/>
              </w:rPr>
              <w:t>OTI</w:t>
            </w:r>
            <w:proofErr w:type="spellEnd"/>
            <w:r>
              <w:rPr>
                <w:color w:val="000000"/>
                <w:sz w:val="20"/>
                <w:szCs w:val="20"/>
              </w:rPr>
              <w:t xml:space="preserve"> en seguridad digital y se evalúan los riesgos de seguridad digital de la </w:t>
            </w:r>
            <w:proofErr w:type="spellStart"/>
            <w:r>
              <w:rPr>
                <w:color w:val="000000"/>
                <w:sz w:val="20"/>
                <w:szCs w:val="20"/>
              </w:rPr>
              <w:t>OTI</w:t>
            </w:r>
            <w:proofErr w:type="spellEnd"/>
          </w:p>
        </w:tc>
      </w:tr>
      <w:tr w:rsidR="00E72CBA" w:rsidRPr="001D3934" w:rsidTr="00B90824">
        <w:trPr>
          <w:trHeight w:val="1213"/>
        </w:trPr>
        <w:tc>
          <w:tcPr>
            <w:tcW w:w="1985" w:type="dxa"/>
            <w:vAlign w:val="center"/>
          </w:tcPr>
          <w:p w:rsidR="00E72CBA" w:rsidRDefault="00E72CBA" w:rsidP="00B90824">
            <w:pPr>
              <w:rPr>
                <w:rFonts w:ascii="Calibri" w:hAnsi="Calibri"/>
                <w:color w:val="000000"/>
                <w:sz w:val="22"/>
                <w:szCs w:val="22"/>
              </w:rPr>
            </w:pPr>
            <w:r>
              <w:rPr>
                <w:rFonts w:ascii="Calibri" w:hAnsi="Calibri"/>
                <w:color w:val="000000"/>
                <w:sz w:val="22"/>
                <w:szCs w:val="22"/>
              </w:rPr>
              <w:t>Administración del sistema integrado de gestión</w:t>
            </w:r>
          </w:p>
          <w:p w:rsidR="00E72CBA" w:rsidRDefault="00E72CBA" w:rsidP="00B90824">
            <w:pPr>
              <w:rPr>
                <w:rFonts w:ascii="Calibri" w:hAnsi="Calibri"/>
                <w:color w:val="000000"/>
                <w:sz w:val="22"/>
                <w:szCs w:val="22"/>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gestión del mapa de riesgos de corrupción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Se realizó seguimiento a los mapas de riesgos de corrupción de 18 procesos y se modificó la redacción de los controles y la descripción del riesgo.  Se identificó el contexto del riesgo para la ADR y se presentó al Comité Coordinador de Control Interno. Se actualizaron los mapas de riesgos de corrupción para los 22 procesos de la ADR y los procesos realizaron el seguimiento de cumplimiento de las acciones propuestas trimestralmente.</w:t>
            </w:r>
          </w:p>
        </w:tc>
      </w:tr>
      <w:tr w:rsidR="00E72CBA" w:rsidRPr="001D3934" w:rsidTr="00E72CBA">
        <w:trPr>
          <w:trHeight w:val="596"/>
        </w:trPr>
        <w:tc>
          <w:tcPr>
            <w:tcW w:w="1985" w:type="dxa"/>
            <w:vAlign w:val="center"/>
          </w:tcPr>
          <w:p w:rsidR="00E72CBA" w:rsidRDefault="00E72CBA" w:rsidP="00E72CBA">
            <w:pPr>
              <w:rPr>
                <w:rFonts w:ascii="Calibri" w:hAnsi="Calibri"/>
                <w:color w:val="000000"/>
                <w:sz w:val="22"/>
                <w:szCs w:val="22"/>
              </w:rPr>
            </w:pPr>
            <w:r>
              <w:rPr>
                <w:rFonts w:ascii="Calibri" w:hAnsi="Calibri"/>
                <w:color w:val="000000"/>
                <w:sz w:val="22"/>
                <w:szCs w:val="22"/>
              </w:rPr>
              <w:t>Direccionamiento estratégico institucional</w:t>
            </w:r>
          </w:p>
          <w:p w:rsidR="00E72CBA" w:rsidRDefault="00E72CBA" w:rsidP="00E72CBA">
            <w:pPr>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implementación del Modelo Integrado de Planeación y Gestión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Durante la vigencia se ha dado asesoría a las dependencias en la implementación y construcción de documentos acordes con las guías de la Función Pública.  Se realizaron mesas de trabajo en el cumplimiento de la Estrategia de Rendición de Cuentas con base en el Manual Único de Rendición de Cuentas.  Se generaron 5 informes de avance sobre el avance del plan de implementación del el </w:t>
            </w:r>
            <w:proofErr w:type="spellStart"/>
            <w:r>
              <w:rPr>
                <w:color w:val="000000"/>
                <w:sz w:val="20"/>
                <w:szCs w:val="20"/>
              </w:rPr>
              <w:t>MIPG</w:t>
            </w:r>
            <w:proofErr w:type="spellEnd"/>
            <w:r>
              <w:rPr>
                <w:color w:val="000000"/>
                <w:sz w:val="20"/>
                <w:szCs w:val="20"/>
              </w:rPr>
              <w:t xml:space="preserve">. Se publicó la estrategia de rendición de cuentas.  Se </w:t>
            </w:r>
            <w:r>
              <w:rPr>
                <w:color w:val="000000"/>
                <w:sz w:val="20"/>
                <w:szCs w:val="20"/>
              </w:rPr>
              <w:lastRenderedPageBreak/>
              <w:t xml:space="preserve">elaboraron dos informes sobre el </w:t>
            </w:r>
            <w:proofErr w:type="spellStart"/>
            <w:r>
              <w:rPr>
                <w:color w:val="000000"/>
                <w:sz w:val="20"/>
                <w:szCs w:val="20"/>
              </w:rPr>
              <w:t>MIPG</w:t>
            </w:r>
            <w:proofErr w:type="spellEnd"/>
            <w:r>
              <w:rPr>
                <w:color w:val="000000"/>
                <w:sz w:val="20"/>
                <w:szCs w:val="20"/>
              </w:rPr>
              <w:t>.</w:t>
            </w:r>
          </w:p>
        </w:tc>
      </w:tr>
      <w:tr w:rsidR="00E72CBA" w:rsidRPr="001D3934" w:rsidTr="00B90824">
        <w:trPr>
          <w:trHeight w:val="731"/>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lastRenderedPageBreak/>
              <w:t>Direccionamiento estratégico institucional</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realización de la planeación presupuestal de la Entidad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Se hizo la desagregación presupuestal con el presupuesto para la vigencia 2020, para los recursos de inversión. Se actualizaron los proyectos de inversión para la vigencia 2020 con base el decreto de liquidación. Se consolido y aprobó por el Consejo Directivo de la ADR. Se consolido y se diligencio las matrices del marco de gasto de mediano plazo, al igual que la presentación del mismo, se adjuntan las matrices y la presentación del gasto que fue enviada al Ministerio de Agricultura. Se hizo levantamiento de los conceptos previos de los proyectos de inversión, de acuerdo con la cuota vigente en el aplicativo </w:t>
            </w:r>
            <w:proofErr w:type="spellStart"/>
            <w:r>
              <w:rPr>
                <w:color w:val="000000"/>
                <w:sz w:val="20"/>
                <w:szCs w:val="20"/>
              </w:rPr>
              <w:t>SUIFP</w:t>
            </w:r>
            <w:proofErr w:type="spellEnd"/>
            <w:r>
              <w:rPr>
                <w:color w:val="000000"/>
                <w:sz w:val="20"/>
                <w:szCs w:val="20"/>
              </w:rPr>
              <w:t>.</w:t>
            </w:r>
          </w:p>
        </w:tc>
      </w:tr>
      <w:tr w:rsidR="00E72CBA" w:rsidRPr="001D3934" w:rsidTr="00B90824">
        <w:trPr>
          <w:trHeight w:val="1473"/>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Direccionamiento estratégico institucional</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avance en la realización del seguimiento del presupuesto de inversión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Durante el mes de diciembre se tramitaron 95 solicitudes de </w:t>
            </w:r>
            <w:proofErr w:type="spellStart"/>
            <w:r>
              <w:rPr>
                <w:color w:val="000000"/>
                <w:sz w:val="20"/>
                <w:szCs w:val="20"/>
              </w:rPr>
              <w:t>CDP</w:t>
            </w:r>
            <w:proofErr w:type="spellEnd"/>
            <w:r>
              <w:rPr>
                <w:color w:val="000000"/>
                <w:sz w:val="20"/>
                <w:szCs w:val="20"/>
              </w:rPr>
              <w:t>, Con cargo a los proyectos de inversión, para un total de solicitudes tramitadas de 507. Frente a la ejecución Presupuestal, se tiene un nivel de ejecución total de recursos de la agencia del 87.6%, sobre compromisos. Para los recursos de funcionamiento se presenta una ejecución del 81.7% y para los recursos de inversión del 88.2%, con corte al 30 de diciembre.</w:t>
            </w:r>
          </w:p>
        </w:tc>
      </w:tr>
      <w:tr w:rsidR="00E72CBA" w:rsidRPr="001D3934" w:rsidTr="006164A7">
        <w:trPr>
          <w:trHeight w:val="900"/>
        </w:trPr>
        <w:tc>
          <w:tcPr>
            <w:tcW w:w="1985" w:type="dxa"/>
          </w:tcPr>
          <w:p w:rsidR="00E72CBA" w:rsidRDefault="00E72CBA" w:rsidP="00E72CBA">
            <w:pPr>
              <w:jc w:val="both"/>
              <w:rPr>
                <w:rFonts w:ascii="Calibri" w:hAnsi="Calibri"/>
                <w:color w:val="000000"/>
                <w:sz w:val="22"/>
                <w:szCs w:val="22"/>
              </w:rPr>
            </w:pPr>
            <w:r>
              <w:rPr>
                <w:rFonts w:ascii="Calibri" w:hAnsi="Calibri"/>
                <w:color w:val="000000"/>
                <w:sz w:val="22"/>
                <w:szCs w:val="22"/>
              </w:rPr>
              <w:lastRenderedPageBreak/>
              <w:t>Administración del sistema integrado de gestión</w:t>
            </w:r>
          </w:p>
          <w:p w:rsidR="00E72CBA" w:rsidRDefault="00E72CBA">
            <w:pPr>
              <w:jc w:val="both"/>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cumplimiento del programa de auditoria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Se cumplió el programa de auditoria en todas las sedes y procesos establecidos. Los resultados se presentaron en la reunión de cierre realizada el 3 de diciembre.</w:t>
            </w:r>
          </w:p>
        </w:tc>
      </w:tr>
      <w:tr w:rsidR="00E72CBA" w:rsidRPr="001D3934" w:rsidTr="006164A7">
        <w:trPr>
          <w:trHeight w:val="1500"/>
        </w:trPr>
        <w:tc>
          <w:tcPr>
            <w:tcW w:w="1985" w:type="dxa"/>
          </w:tcPr>
          <w:p w:rsidR="00E72CBA" w:rsidRDefault="00E72CBA" w:rsidP="00E72CBA">
            <w:pPr>
              <w:jc w:val="both"/>
              <w:rPr>
                <w:rFonts w:ascii="Calibri" w:hAnsi="Calibri"/>
                <w:color w:val="000000"/>
                <w:sz w:val="22"/>
                <w:szCs w:val="22"/>
              </w:rPr>
            </w:pPr>
            <w:r>
              <w:rPr>
                <w:rFonts w:ascii="Calibri" w:hAnsi="Calibri"/>
                <w:color w:val="000000"/>
                <w:sz w:val="22"/>
                <w:szCs w:val="22"/>
              </w:rPr>
              <w:t>Control disciplinario interno</w:t>
            </w:r>
          </w:p>
          <w:p w:rsidR="00E72CBA" w:rsidRDefault="00E72CBA">
            <w:pPr>
              <w:jc w:val="both"/>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Nivel de ejecución del Programa de Prevención de Asuntos Disciplinarios, de acuerdo con la normatividad vigente</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Se enviaron correos definidos en la estrategia de comunicación los días 05 y 20 de mayo; el 27 de junio; 23 de julio y 29 de julio; 27, 29 de agosto y 30 de agosto; 25, 26,  27 y 30 de septiembre y los últimos se enviaron 22,23 y 31de octubre de 2019.</w:t>
            </w:r>
          </w:p>
        </w:tc>
      </w:tr>
      <w:tr w:rsidR="00E72CBA" w:rsidRPr="001D3934" w:rsidTr="006164A7">
        <w:trPr>
          <w:trHeight w:val="998"/>
        </w:trPr>
        <w:tc>
          <w:tcPr>
            <w:tcW w:w="1985" w:type="dxa"/>
          </w:tcPr>
          <w:p w:rsidR="00E72CBA" w:rsidRDefault="00E72CBA" w:rsidP="00E72CBA">
            <w:pPr>
              <w:rPr>
                <w:rFonts w:ascii="Calibri" w:hAnsi="Calibri"/>
                <w:color w:val="000000"/>
                <w:sz w:val="22"/>
                <w:szCs w:val="22"/>
              </w:rPr>
            </w:pPr>
            <w:r>
              <w:rPr>
                <w:rFonts w:ascii="Calibri" w:hAnsi="Calibri"/>
                <w:color w:val="000000"/>
                <w:sz w:val="22"/>
                <w:szCs w:val="22"/>
              </w:rPr>
              <w:t>Gestión financiera</w:t>
            </w:r>
          </w:p>
          <w:p w:rsidR="00E72CBA" w:rsidRDefault="00E72CBA">
            <w:pPr>
              <w:rPr>
                <w:color w:val="000000"/>
                <w:sz w:val="20"/>
                <w:szCs w:val="20"/>
              </w:rPr>
            </w:pPr>
          </w:p>
        </w:tc>
        <w:tc>
          <w:tcPr>
            <w:tcW w:w="1985" w:type="dxa"/>
            <w:shd w:val="clear" w:color="auto" w:fill="auto"/>
            <w:noWrap/>
            <w:vAlign w:val="center"/>
            <w:hideMark/>
          </w:tcPr>
          <w:p w:rsidR="00E72CBA" w:rsidRDefault="00E72CBA">
            <w:pPr>
              <w:rPr>
                <w:color w:val="000000"/>
                <w:sz w:val="20"/>
                <w:szCs w:val="20"/>
              </w:rPr>
            </w:pPr>
            <w:r>
              <w:rPr>
                <w:color w:val="000000"/>
                <w:sz w:val="20"/>
                <w:szCs w:val="20"/>
              </w:rPr>
              <w:t>Nivel de saldos liberados</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83.85 %</w:t>
            </w:r>
          </w:p>
        </w:tc>
        <w:tc>
          <w:tcPr>
            <w:tcW w:w="2977" w:type="dxa"/>
            <w:gridSpan w:val="2"/>
            <w:shd w:val="clear" w:color="auto" w:fill="auto"/>
            <w:noWrap/>
            <w:vAlign w:val="center"/>
            <w:hideMark/>
          </w:tcPr>
          <w:p w:rsidR="00E72CBA" w:rsidRDefault="00E72CBA" w:rsidP="00721068">
            <w:pPr>
              <w:jc w:val="both"/>
              <w:rPr>
                <w:color w:val="000000"/>
                <w:sz w:val="20"/>
                <w:szCs w:val="20"/>
              </w:rPr>
            </w:pPr>
            <w:r>
              <w:rPr>
                <w:color w:val="000000"/>
                <w:sz w:val="20"/>
                <w:szCs w:val="20"/>
              </w:rPr>
              <w:t xml:space="preserve">El número acumulado de liberaciones de la vigencia corresponde a 379, lo que se traduce en un avance del 83,35%. Se aclarar que, de conformidad con lo establecido en Decreto 2411 de 2019 y en la Circular Externa 026 del 20 de noviembre de 2019 emitida por la Dirección General de Presupuesto Público Nacional del </w:t>
            </w:r>
            <w:proofErr w:type="spellStart"/>
            <w:r>
              <w:rPr>
                <w:color w:val="000000"/>
                <w:sz w:val="20"/>
                <w:szCs w:val="20"/>
              </w:rPr>
              <w:t>MHCP</w:t>
            </w:r>
            <w:proofErr w:type="spellEnd"/>
            <w:r>
              <w:rPr>
                <w:color w:val="000000"/>
                <w:sz w:val="20"/>
                <w:szCs w:val="20"/>
              </w:rPr>
              <w:t xml:space="preserve">, para constituir las cuentas por pagar es necesario contar con </w:t>
            </w:r>
            <w:proofErr w:type="spellStart"/>
            <w:r>
              <w:rPr>
                <w:color w:val="000000"/>
                <w:sz w:val="20"/>
                <w:szCs w:val="20"/>
              </w:rPr>
              <w:t>PAC</w:t>
            </w:r>
            <w:proofErr w:type="spellEnd"/>
            <w:r>
              <w:rPr>
                <w:color w:val="000000"/>
                <w:sz w:val="20"/>
                <w:szCs w:val="20"/>
              </w:rPr>
              <w:t xml:space="preserve"> de la vigencia, que para el caso de la ADR no se contaba con dicha disponibilidad. Por tanto los Contratos de Prestación de Servicios (</w:t>
            </w:r>
            <w:proofErr w:type="spellStart"/>
            <w:r>
              <w:rPr>
                <w:color w:val="000000"/>
                <w:sz w:val="20"/>
                <w:szCs w:val="20"/>
              </w:rPr>
              <w:t>CPS</w:t>
            </w:r>
            <w:proofErr w:type="spellEnd"/>
            <w:r>
              <w:rPr>
                <w:color w:val="000000"/>
                <w:sz w:val="20"/>
                <w:szCs w:val="20"/>
              </w:rPr>
              <w:t xml:space="preserve">) que al cierre de la vigencia 2019 quedaron constituidos como rezago presupuestal una vez sean pagados se procederá a liberar mediante de cancelación o liberación de saldos, cumpliéndose así con un porcentaje de liberación del 100%. </w:t>
            </w:r>
          </w:p>
        </w:tc>
      </w:tr>
      <w:tr w:rsidR="00E72CBA" w:rsidRPr="001D3934" w:rsidTr="00B90824">
        <w:trPr>
          <w:trHeight w:val="507"/>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lastRenderedPageBreak/>
              <w:t>Asesoría y defensa jurídica</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Comités de Conciliación que se realizan mensualmente</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24</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Se han realizado 24 comités de conciliación durante el año 2019 (2 al mes) en donde se tratan temas referentes a las demandas en contra o que adelanta la entidad contra terceros.</w:t>
            </w:r>
          </w:p>
        </w:tc>
      </w:tr>
      <w:tr w:rsidR="00E72CBA" w:rsidRPr="001D3934" w:rsidTr="00B90824">
        <w:trPr>
          <w:trHeight w:val="60"/>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Direccionamiento estratégico institucional</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Comités Institucionales de Gestión y Desempeño realizados</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4</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En lo corrido del año se han realizado 4 Comités Institucionales de Gestión y Desempeño ordinarios y se realizó uno extraordinario.</w:t>
            </w:r>
          </w:p>
        </w:tc>
      </w:tr>
      <w:tr w:rsidR="00E72CBA" w:rsidRPr="001D3934" w:rsidTr="00B90824">
        <w:trPr>
          <w:trHeight w:val="1687"/>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Direccionamiento estratégico institucional</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informes de seguimientos realizados al plan anticorrupción y de atención al ciudadano</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3</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Durante el mes de diciembre, la Oficina de Planeación, llevo a cabo el tercer seguimiento al Plan Anticorrupción y de Atención al Ciudadano, enviando la evidencia a la Oficina de Control Interno, mediante correos electrónicos. Adicionalmente atendió las solicitudes posteriores y complemento las respuestas requeridas.</w:t>
            </w:r>
          </w:p>
        </w:tc>
      </w:tr>
      <w:tr w:rsidR="00E72CBA" w:rsidRPr="001D3934" w:rsidTr="00B90824">
        <w:trPr>
          <w:trHeight w:val="904"/>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Direccionamiento estratégico institucional</w:t>
            </w:r>
          </w:p>
        </w:tc>
        <w:tc>
          <w:tcPr>
            <w:tcW w:w="1985" w:type="dxa"/>
            <w:shd w:val="clear" w:color="auto" w:fill="auto"/>
            <w:vAlign w:val="center"/>
          </w:tcPr>
          <w:p w:rsidR="00E72CBA" w:rsidRDefault="00E72CBA">
            <w:pPr>
              <w:jc w:val="both"/>
              <w:rPr>
                <w:color w:val="000000"/>
                <w:sz w:val="20"/>
                <w:szCs w:val="20"/>
              </w:rPr>
            </w:pPr>
            <w:r>
              <w:rPr>
                <w:color w:val="000000"/>
                <w:sz w:val="20"/>
                <w:szCs w:val="20"/>
              </w:rPr>
              <w:t>Número de informes de seguimientos realizados al plan de acción institucional</w:t>
            </w:r>
          </w:p>
        </w:tc>
        <w:tc>
          <w:tcPr>
            <w:tcW w:w="709" w:type="dxa"/>
            <w:shd w:val="clear" w:color="auto" w:fill="auto"/>
            <w:noWrap/>
            <w:vAlign w:val="center"/>
          </w:tcPr>
          <w:p w:rsidR="00E72CBA" w:rsidRDefault="00E72CBA" w:rsidP="00A62769">
            <w:pPr>
              <w:jc w:val="center"/>
              <w:rPr>
                <w:color w:val="000000"/>
                <w:sz w:val="20"/>
                <w:szCs w:val="20"/>
              </w:rPr>
            </w:pPr>
            <w:r>
              <w:rPr>
                <w:color w:val="000000"/>
                <w:sz w:val="20"/>
                <w:szCs w:val="20"/>
              </w:rPr>
              <w:t>4</w:t>
            </w:r>
          </w:p>
        </w:tc>
        <w:tc>
          <w:tcPr>
            <w:tcW w:w="1350" w:type="dxa"/>
            <w:shd w:val="clear" w:color="auto" w:fill="auto"/>
            <w:noWrap/>
            <w:vAlign w:val="center"/>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tcPr>
          <w:p w:rsidR="00E72CBA" w:rsidRDefault="00E72CBA">
            <w:pPr>
              <w:jc w:val="both"/>
              <w:rPr>
                <w:color w:val="000000"/>
                <w:sz w:val="20"/>
                <w:szCs w:val="20"/>
              </w:rPr>
            </w:pPr>
            <w:r>
              <w:rPr>
                <w:color w:val="000000"/>
                <w:sz w:val="20"/>
                <w:szCs w:val="20"/>
              </w:rPr>
              <w:t xml:space="preserve">Se han elaborado y publicado 4  informes trimestrales de seguimiento al Plan de Acción Institucional, los cuales se encuentran publicados en el link https://www.adr.gov.co/atencion-al-ciudadano/transparencia/planeacion/Paginas/plan-estrategico-sectorial.aspx. </w:t>
            </w:r>
          </w:p>
        </w:tc>
      </w:tr>
      <w:tr w:rsidR="00E72CBA" w:rsidRPr="0001504A" w:rsidTr="00B90824">
        <w:trPr>
          <w:trHeight w:val="60"/>
        </w:trPr>
        <w:tc>
          <w:tcPr>
            <w:tcW w:w="1985" w:type="dxa"/>
            <w:vAlign w:val="center"/>
          </w:tcPr>
          <w:p w:rsidR="00E72CBA" w:rsidRDefault="00E72CBA">
            <w:pPr>
              <w:rPr>
                <w:rFonts w:ascii="Calibri" w:hAnsi="Calibri"/>
                <w:color w:val="000000"/>
                <w:sz w:val="22"/>
                <w:szCs w:val="22"/>
              </w:rPr>
            </w:pPr>
            <w:r>
              <w:rPr>
                <w:rFonts w:ascii="Calibri" w:hAnsi="Calibri"/>
                <w:color w:val="000000"/>
                <w:sz w:val="22"/>
                <w:szCs w:val="22"/>
              </w:rPr>
              <w:t>Direccionamiento estratégico institucional</w:t>
            </w:r>
          </w:p>
        </w:tc>
        <w:tc>
          <w:tcPr>
            <w:tcW w:w="1985" w:type="dxa"/>
            <w:shd w:val="clear" w:color="auto" w:fill="auto"/>
            <w:vAlign w:val="center"/>
          </w:tcPr>
          <w:p w:rsidR="00E72CBA" w:rsidRDefault="00E72CBA">
            <w:pPr>
              <w:jc w:val="both"/>
              <w:rPr>
                <w:color w:val="000000"/>
                <w:sz w:val="20"/>
                <w:szCs w:val="20"/>
              </w:rPr>
            </w:pPr>
            <w:r>
              <w:rPr>
                <w:color w:val="000000"/>
                <w:sz w:val="20"/>
                <w:szCs w:val="20"/>
              </w:rPr>
              <w:t>Número de Informes requeridos por Ley para la ciudadanía consolidados y presentados</w:t>
            </w:r>
          </w:p>
        </w:tc>
        <w:tc>
          <w:tcPr>
            <w:tcW w:w="709" w:type="dxa"/>
            <w:shd w:val="clear" w:color="auto" w:fill="auto"/>
            <w:noWrap/>
            <w:vAlign w:val="center"/>
          </w:tcPr>
          <w:p w:rsidR="00E72CBA" w:rsidRDefault="00E72CBA" w:rsidP="00A62769">
            <w:pPr>
              <w:jc w:val="center"/>
              <w:rPr>
                <w:color w:val="000000"/>
                <w:sz w:val="20"/>
                <w:szCs w:val="20"/>
              </w:rPr>
            </w:pPr>
            <w:r>
              <w:rPr>
                <w:color w:val="000000"/>
                <w:sz w:val="20"/>
                <w:szCs w:val="20"/>
              </w:rPr>
              <w:t>3</w:t>
            </w:r>
          </w:p>
        </w:tc>
        <w:tc>
          <w:tcPr>
            <w:tcW w:w="1350" w:type="dxa"/>
            <w:shd w:val="clear" w:color="auto" w:fill="auto"/>
            <w:noWrap/>
            <w:vAlign w:val="center"/>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tcPr>
          <w:p w:rsidR="00E72CBA" w:rsidRDefault="00E72CBA">
            <w:pPr>
              <w:jc w:val="both"/>
              <w:rPr>
                <w:color w:val="000000"/>
                <w:sz w:val="20"/>
                <w:szCs w:val="20"/>
              </w:rPr>
            </w:pPr>
            <w:r>
              <w:rPr>
                <w:color w:val="000000"/>
                <w:sz w:val="20"/>
                <w:szCs w:val="20"/>
              </w:rPr>
              <w:t xml:space="preserve">Se consolidaron 3 informes requeridos por Ley: Informe de gestión año anterior (publicado a 31 de enero de 2019) e informe para Congreso (enviado en junio para consolidación por parte del </w:t>
            </w:r>
            <w:proofErr w:type="spellStart"/>
            <w:r>
              <w:rPr>
                <w:color w:val="000000"/>
                <w:sz w:val="20"/>
                <w:szCs w:val="20"/>
              </w:rPr>
              <w:t>MADR</w:t>
            </w:r>
            <w:proofErr w:type="spellEnd"/>
            <w:r>
              <w:rPr>
                <w:color w:val="000000"/>
                <w:sz w:val="20"/>
                <w:szCs w:val="20"/>
              </w:rPr>
              <w:t xml:space="preserve">) y en noviembre se publicó el informe de rendición </w:t>
            </w:r>
            <w:r>
              <w:rPr>
                <w:color w:val="000000"/>
                <w:sz w:val="20"/>
                <w:szCs w:val="20"/>
              </w:rPr>
              <w:lastRenderedPageBreak/>
              <w:t>de cuentas en página web.</w:t>
            </w:r>
          </w:p>
        </w:tc>
      </w:tr>
      <w:tr w:rsidR="00E72CBA" w:rsidRPr="0001504A" w:rsidTr="00E72CBA">
        <w:trPr>
          <w:trHeight w:val="60"/>
        </w:trPr>
        <w:tc>
          <w:tcPr>
            <w:tcW w:w="1985" w:type="dxa"/>
            <w:vAlign w:val="center"/>
          </w:tcPr>
          <w:p w:rsidR="00E72CBA" w:rsidRDefault="00E72CBA" w:rsidP="00E72CBA">
            <w:pPr>
              <w:jc w:val="center"/>
              <w:rPr>
                <w:rFonts w:ascii="Calibri" w:hAnsi="Calibri"/>
                <w:color w:val="000000"/>
                <w:sz w:val="22"/>
                <w:szCs w:val="22"/>
              </w:rPr>
            </w:pPr>
            <w:r>
              <w:rPr>
                <w:rFonts w:ascii="Calibri" w:hAnsi="Calibri"/>
                <w:color w:val="000000"/>
                <w:sz w:val="22"/>
                <w:szCs w:val="22"/>
              </w:rPr>
              <w:lastRenderedPageBreak/>
              <w:t>Direccionamiento estratégico institucional</w:t>
            </w:r>
          </w:p>
          <w:p w:rsidR="00E72CBA" w:rsidRDefault="00E72CBA" w:rsidP="00E72CBA">
            <w:pPr>
              <w:jc w:val="both"/>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planes institucionales estructurados</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4</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La Agencia de Desarrollo Rural, en cumplimiento del artículo 74 de la Ley 1474 de 2011, publicó el día 31 de enero el Plan de Acción Institucional 2019, documento propio de la gestión estratégica institucional, que detalla las acciones que se tienen planeadas para la vigencia 2019, con el propósito de aportar a las metas del Plan Nacional de Desarrollo desde la </w:t>
            </w:r>
            <w:proofErr w:type="spellStart"/>
            <w:r>
              <w:rPr>
                <w:color w:val="000000"/>
                <w:sz w:val="20"/>
                <w:szCs w:val="20"/>
              </w:rPr>
              <w:t>misionalidad</w:t>
            </w:r>
            <w:proofErr w:type="spellEnd"/>
            <w:r>
              <w:rPr>
                <w:color w:val="000000"/>
                <w:sz w:val="20"/>
                <w:szCs w:val="20"/>
              </w:rPr>
              <w:t xml:space="preserve"> de la Entidad. Asimismo, se aprobó el Plan Estratégico Institucional 2018-2022, condicionado a ajustes solicitados por los miembros del Consejo Directivo. Adicionalmente y en cumplimiento del artículo 73 de la citada norma, se presenta el Plan Anticorrupción y de Atención al Ciudadano – </w:t>
            </w:r>
            <w:proofErr w:type="spellStart"/>
            <w:r>
              <w:rPr>
                <w:color w:val="000000"/>
                <w:sz w:val="20"/>
                <w:szCs w:val="20"/>
              </w:rPr>
              <w:t>PAAC</w:t>
            </w:r>
            <w:proofErr w:type="spellEnd"/>
            <w:r>
              <w:rPr>
                <w:color w:val="000000"/>
                <w:sz w:val="20"/>
                <w:szCs w:val="20"/>
              </w:rPr>
              <w:t xml:space="preserve"> para la vigencia 2019, documento que se constituye en una herramienta de control preventivo de la gestión institucional que busca promover la transparencia y disminuir los riesgos de corrupción en la Entidad. Se realizó la revisión correspondiente a la Oficina de Planeación de la primera versión del Plan de Programación de Necesidades de la ADR, la cual fue publicada en el </w:t>
            </w:r>
            <w:proofErr w:type="spellStart"/>
            <w:r>
              <w:rPr>
                <w:color w:val="000000"/>
                <w:sz w:val="20"/>
                <w:szCs w:val="20"/>
              </w:rPr>
              <w:t>SECOP</w:t>
            </w:r>
            <w:proofErr w:type="spellEnd"/>
            <w:r>
              <w:rPr>
                <w:color w:val="000000"/>
                <w:sz w:val="20"/>
                <w:szCs w:val="20"/>
              </w:rPr>
              <w:t xml:space="preserve"> II el 11 de enero y de ahí en adelante, los ajustes correspondientes. La información quedo publicada en https://www.adr.gov.co/atencion</w:t>
            </w:r>
            <w:r>
              <w:rPr>
                <w:color w:val="000000"/>
                <w:sz w:val="20"/>
                <w:szCs w:val="20"/>
              </w:rPr>
              <w:lastRenderedPageBreak/>
              <w:t>-al-ciudadano/transparencia/planeacion/Paginas/plan-anual-adquisiciones-2019.aspx y en https://community.secop.gov.co/Public/App/AnnualPurchasingPlanManagementPublic/Index?Page=login&amp;Country=CO&amp;SkinName=CCE</w:t>
            </w:r>
          </w:p>
        </w:tc>
      </w:tr>
      <w:tr w:rsidR="00E72CBA" w:rsidRPr="0001504A" w:rsidTr="006164A7">
        <w:trPr>
          <w:trHeight w:val="312"/>
        </w:trPr>
        <w:tc>
          <w:tcPr>
            <w:tcW w:w="1985" w:type="dxa"/>
          </w:tcPr>
          <w:p w:rsidR="00E72CBA" w:rsidRDefault="00E72CBA" w:rsidP="00E72CBA">
            <w:pPr>
              <w:jc w:val="both"/>
              <w:rPr>
                <w:rFonts w:ascii="Calibri" w:hAnsi="Calibri"/>
                <w:color w:val="000000"/>
                <w:sz w:val="22"/>
                <w:szCs w:val="22"/>
              </w:rPr>
            </w:pPr>
            <w:r>
              <w:rPr>
                <w:rFonts w:ascii="Calibri" w:hAnsi="Calibri"/>
                <w:color w:val="000000"/>
                <w:sz w:val="22"/>
                <w:szCs w:val="22"/>
              </w:rPr>
              <w:lastRenderedPageBreak/>
              <w:t>Asesoría y defensa jurídica</w:t>
            </w:r>
          </w:p>
          <w:p w:rsidR="00E72CBA" w:rsidRDefault="00E72CBA">
            <w:pPr>
              <w:jc w:val="both"/>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Políticas de Prevención del Daño antijurídico formulada y aprobada para el año 2020</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Durante el mes de noviembre se llevaron a cabo actividades tendientes a la formulación de la Política de Prevención del Daño Antijurídico con vigencia 2020-2021 así: - Se realizó un estudio del insumo </w:t>
            </w:r>
            <w:proofErr w:type="spellStart"/>
            <w:r>
              <w:rPr>
                <w:color w:val="000000"/>
                <w:sz w:val="20"/>
                <w:szCs w:val="20"/>
              </w:rPr>
              <w:t>litigiosidad</w:t>
            </w:r>
            <w:proofErr w:type="spellEnd"/>
            <w:r>
              <w:rPr>
                <w:color w:val="000000"/>
                <w:sz w:val="20"/>
                <w:szCs w:val="20"/>
              </w:rPr>
              <w:t>, a través del cual se llevó a cabo una clasificación de las causas e-</w:t>
            </w:r>
            <w:proofErr w:type="spellStart"/>
            <w:r>
              <w:rPr>
                <w:color w:val="000000"/>
                <w:sz w:val="20"/>
                <w:szCs w:val="20"/>
              </w:rPr>
              <w:t>kogui</w:t>
            </w:r>
            <w:proofErr w:type="spellEnd"/>
            <w:r>
              <w:rPr>
                <w:color w:val="000000"/>
                <w:sz w:val="20"/>
                <w:szCs w:val="20"/>
              </w:rPr>
              <w:t xml:space="preserve"> de cada uno de los procesos judiciales de los cuales fue notificada la agencia entre 01 de enero de 2019 y 30 de septiembre. - Así mismo, se formularon el resto de los componentes de la Política, es decir, se priorizaron las causas generales, el seguimiento y la evaluación. - Se proyectó memorando No. 20192100050403 del 22 de noviembre de 2019 dirigido a la Vicepresidencia de Integración Productiva con el fin de formular los componentes de la Política relacionados con los daños a bienes por inundación. El 27 de noviembre de 2019, se remitió el proyecto de formulación de la Política de Prevención del Daño Antijurídico con el fin de que fuera presentado ante el Comité de Conciliación. Mediante sesión del 29 de </w:t>
            </w:r>
            <w:r>
              <w:rPr>
                <w:color w:val="000000"/>
                <w:sz w:val="20"/>
                <w:szCs w:val="20"/>
              </w:rPr>
              <w:lastRenderedPageBreak/>
              <w:t>noviembre de 2019, el Comité de Conciliación aprobó el proyecto de formulación de la Política de Prevención del Daño Antijurídico. - Mediante oficio No. 20192100090202 del 02 de diciembre de 2019, se remitió la política aprobada por el Comité de Conciliación a la Agencia Nacional de Defensa Jurídica para su aval.</w:t>
            </w:r>
          </w:p>
        </w:tc>
      </w:tr>
      <w:tr w:rsidR="00E72CBA" w:rsidRPr="001D3934" w:rsidTr="006164A7">
        <w:trPr>
          <w:trHeight w:val="1839"/>
        </w:trPr>
        <w:tc>
          <w:tcPr>
            <w:tcW w:w="1985" w:type="dxa"/>
          </w:tcPr>
          <w:p w:rsidR="007A7332" w:rsidRDefault="007A7332" w:rsidP="007A7332">
            <w:pPr>
              <w:jc w:val="both"/>
              <w:rPr>
                <w:rFonts w:ascii="Calibri" w:hAnsi="Calibri"/>
                <w:color w:val="000000"/>
                <w:sz w:val="22"/>
                <w:szCs w:val="22"/>
              </w:rPr>
            </w:pPr>
            <w:r>
              <w:rPr>
                <w:rFonts w:ascii="Calibri" w:hAnsi="Calibri"/>
                <w:color w:val="000000"/>
                <w:sz w:val="22"/>
                <w:szCs w:val="22"/>
              </w:rPr>
              <w:lastRenderedPageBreak/>
              <w:t>Asesoría y defensa jurídica</w:t>
            </w:r>
          </w:p>
          <w:p w:rsidR="00E72CBA" w:rsidRDefault="00E72CBA">
            <w:pPr>
              <w:jc w:val="both"/>
              <w:rPr>
                <w:color w:val="000000"/>
                <w:sz w:val="20"/>
                <w:szCs w:val="20"/>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Número de Políticas Generales que orientan la defensa de los intereses de la Entidad formuladas y aprobadas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Mediante acta no.16 de fecha 30 de agosto de 2019, fue aprobada la política general que orienta la defensa de los intereses de la entidad, por el comité de conciliación.</w:t>
            </w:r>
          </w:p>
        </w:tc>
      </w:tr>
      <w:tr w:rsidR="00E72CBA" w:rsidRPr="001D3934" w:rsidTr="00A62769">
        <w:trPr>
          <w:trHeight w:val="1305"/>
        </w:trPr>
        <w:tc>
          <w:tcPr>
            <w:tcW w:w="1985" w:type="dxa"/>
          </w:tcPr>
          <w:p w:rsidR="007A7332" w:rsidRDefault="007A7332" w:rsidP="007A7332">
            <w:pPr>
              <w:jc w:val="both"/>
              <w:rPr>
                <w:rFonts w:ascii="Calibri" w:hAnsi="Calibri"/>
                <w:color w:val="000000"/>
                <w:sz w:val="22"/>
                <w:szCs w:val="22"/>
              </w:rPr>
            </w:pPr>
            <w:r>
              <w:rPr>
                <w:rFonts w:ascii="Calibri" w:hAnsi="Calibri"/>
                <w:color w:val="000000"/>
                <w:sz w:val="22"/>
                <w:szCs w:val="22"/>
              </w:rPr>
              <w:t>Gestión de tecnologías de la información</w:t>
            </w:r>
          </w:p>
          <w:p w:rsidR="00E72CBA" w:rsidRDefault="00E72CBA">
            <w:pPr>
              <w:jc w:val="both"/>
              <w:rPr>
                <w:color w:val="000000"/>
                <w:sz w:val="20"/>
                <w:szCs w:val="16"/>
              </w:rPr>
            </w:pPr>
          </w:p>
        </w:tc>
        <w:tc>
          <w:tcPr>
            <w:tcW w:w="1985" w:type="dxa"/>
            <w:shd w:val="clear" w:color="auto" w:fill="auto"/>
            <w:vAlign w:val="center"/>
            <w:hideMark/>
          </w:tcPr>
          <w:p w:rsidR="00E72CBA" w:rsidRDefault="00E72CBA">
            <w:pPr>
              <w:jc w:val="both"/>
              <w:rPr>
                <w:color w:val="000000"/>
                <w:sz w:val="20"/>
                <w:szCs w:val="20"/>
              </w:rPr>
            </w:pPr>
            <w:r>
              <w:rPr>
                <w:color w:val="000000"/>
                <w:sz w:val="20"/>
                <w:szCs w:val="16"/>
              </w:rPr>
              <w:t>Número de servicios de información actualizados</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16"/>
              </w:rPr>
              <w:t>3</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66.67 %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16"/>
              </w:rPr>
              <w:t xml:space="preserve">De la actividad, definir el plan para la gestión de los proyectos de los Sistemas de Información a actualizar, se entregó el plan que se ejecutó durante el contrato 456 de 2019 y los formatos de solicitudes de cambio a la aplicación Banco de Proyectos aprobado por el supervisor del contrato. En la actividad, diseñar los ajustes a los sistemas de información y generar el documento de historia de usuarios, se entregó el diseño de los formularios, el diseño de la base de datos en un modelo entidad relación, las listas desplegables, los mensajes de ayuda y el diccionarios de datos; de la aplicación Baco de Proyectos. Con la actividad realizar la implantación o puesta en producción de los ajustes realizados a los sistemas </w:t>
            </w:r>
            <w:r>
              <w:rPr>
                <w:color w:val="000000"/>
                <w:sz w:val="20"/>
                <w:szCs w:val="16"/>
              </w:rPr>
              <w:lastRenderedPageBreak/>
              <w:t>informáticos, se entregaron los informes de seguimiento realizados, verificando el avance del plan de trabajo de la aplicación Banco de Proyectos</w:t>
            </w:r>
          </w:p>
        </w:tc>
      </w:tr>
      <w:tr w:rsidR="007A7332" w:rsidRPr="001D3934" w:rsidTr="00B90824">
        <w:trPr>
          <w:trHeight w:val="954"/>
        </w:trPr>
        <w:tc>
          <w:tcPr>
            <w:tcW w:w="1985" w:type="dxa"/>
            <w:vAlign w:val="center"/>
          </w:tcPr>
          <w:p w:rsidR="007A7332" w:rsidRDefault="007A7332">
            <w:pPr>
              <w:rPr>
                <w:rFonts w:ascii="Calibri" w:hAnsi="Calibri"/>
                <w:color w:val="000000"/>
                <w:sz w:val="22"/>
                <w:szCs w:val="22"/>
              </w:rPr>
            </w:pPr>
            <w:r>
              <w:rPr>
                <w:rFonts w:ascii="Calibri" w:hAnsi="Calibri"/>
                <w:color w:val="000000"/>
                <w:sz w:val="22"/>
                <w:szCs w:val="22"/>
              </w:rPr>
              <w:lastRenderedPageBreak/>
              <w:t>Gestión de tecnologías de la información</w:t>
            </w:r>
          </w:p>
        </w:tc>
        <w:tc>
          <w:tcPr>
            <w:tcW w:w="1985" w:type="dxa"/>
            <w:shd w:val="clear" w:color="auto" w:fill="auto"/>
            <w:vAlign w:val="center"/>
            <w:hideMark/>
          </w:tcPr>
          <w:p w:rsidR="007A7332" w:rsidRDefault="007A7332">
            <w:pPr>
              <w:jc w:val="both"/>
              <w:rPr>
                <w:color w:val="000000"/>
                <w:sz w:val="20"/>
                <w:szCs w:val="20"/>
              </w:rPr>
            </w:pPr>
            <w:r>
              <w:rPr>
                <w:color w:val="000000"/>
                <w:sz w:val="20"/>
                <w:szCs w:val="16"/>
              </w:rPr>
              <w:t>Número de servicios de información implementados</w:t>
            </w:r>
          </w:p>
        </w:tc>
        <w:tc>
          <w:tcPr>
            <w:tcW w:w="709" w:type="dxa"/>
            <w:shd w:val="clear" w:color="auto" w:fill="auto"/>
            <w:noWrap/>
            <w:vAlign w:val="center"/>
            <w:hideMark/>
          </w:tcPr>
          <w:p w:rsidR="007A7332" w:rsidRDefault="007A7332" w:rsidP="00A62769">
            <w:pPr>
              <w:jc w:val="center"/>
              <w:rPr>
                <w:color w:val="000000"/>
                <w:sz w:val="20"/>
                <w:szCs w:val="20"/>
              </w:rPr>
            </w:pPr>
            <w:r>
              <w:rPr>
                <w:color w:val="000000"/>
                <w:sz w:val="20"/>
                <w:szCs w:val="16"/>
              </w:rPr>
              <w:t>2</w:t>
            </w:r>
          </w:p>
        </w:tc>
        <w:tc>
          <w:tcPr>
            <w:tcW w:w="1350" w:type="dxa"/>
            <w:shd w:val="clear" w:color="auto" w:fill="auto"/>
            <w:noWrap/>
            <w:vAlign w:val="center"/>
            <w:hideMark/>
          </w:tcPr>
          <w:p w:rsidR="007A7332" w:rsidRDefault="007A7332"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7A7332" w:rsidRDefault="007A7332">
            <w:pPr>
              <w:jc w:val="both"/>
              <w:rPr>
                <w:color w:val="000000"/>
                <w:sz w:val="20"/>
                <w:szCs w:val="20"/>
              </w:rPr>
            </w:pPr>
            <w:r>
              <w:rPr>
                <w:color w:val="000000"/>
                <w:sz w:val="20"/>
                <w:szCs w:val="16"/>
              </w:rPr>
              <w:t>Se entregó en la implementación de la versión 1.0.3 del Campus Virtual ADR y la versión 1.03 de la Intranet de la ADR.</w:t>
            </w:r>
          </w:p>
        </w:tc>
      </w:tr>
      <w:tr w:rsidR="007A7332" w:rsidRPr="001D3934" w:rsidTr="00B90824">
        <w:trPr>
          <w:trHeight w:val="60"/>
        </w:trPr>
        <w:tc>
          <w:tcPr>
            <w:tcW w:w="1985" w:type="dxa"/>
            <w:vAlign w:val="center"/>
          </w:tcPr>
          <w:p w:rsidR="007A7332" w:rsidRDefault="007A7332">
            <w:pPr>
              <w:rPr>
                <w:rFonts w:ascii="Calibri" w:hAnsi="Calibri"/>
                <w:color w:val="000000"/>
                <w:sz w:val="22"/>
                <w:szCs w:val="22"/>
              </w:rPr>
            </w:pPr>
            <w:r>
              <w:rPr>
                <w:rFonts w:ascii="Calibri" w:hAnsi="Calibri"/>
                <w:color w:val="000000"/>
                <w:sz w:val="22"/>
                <w:szCs w:val="22"/>
              </w:rPr>
              <w:t>Gestión financiera</w:t>
            </w:r>
          </w:p>
        </w:tc>
        <w:tc>
          <w:tcPr>
            <w:tcW w:w="1985" w:type="dxa"/>
            <w:shd w:val="clear" w:color="auto" w:fill="auto"/>
            <w:vAlign w:val="center"/>
          </w:tcPr>
          <w:p w:rsidR="007A7332" w:rsidRDefault="007A7332" w:rsidP="001C21CE">
            <w:pPr>
              <w:rPr>
                <w:color w:val="000000"/>
                <w:sz w:val="20"/>
                <w:szCs w:val="20"/>
              </w:rPr>
            </w:pPr>
            <w:r>
              <w:rPr>
                <w:color w:val="000000"/>
                <w:sz w:val="20"/>
                <w:szCs w:val="16"/>
              </w:rPr>
              <w:t>Pagos efectivamente realizados</w:t>
            </w:r>
          </w:p>
        </w:tc>
        <w:tc>
          <w:tcPr>
            <w:tcW w:w="709" w:type="dxa"/>
            <w:shd w:val="clear" w:color="auto" w:fill="auto"/>
            <w:noWrap/>
            <w:vAlign w:val="center"/>
          </w:tcPr>
          <w:p w:rsidR="007A7332" w:rsidRDefault="007A7332" w:rsidP="00A62769">
            <w:pPr>
              <w:jc w:val="center"/>
              <w:rPr>
                <w:color w:val="000000"/>
                <w:sz w:val="20"/>
                <w:szCs w:val="20"/>
              </w:rPr>
            </w:pPr>
            <w:r>
              <w:rPr>
                <w:color w:val="000000"/>
                <w:sz w:val="20"/>
                <w:szCs w:val="16"/>
              </w:rPr>
              <w:t>100</w:t>
            </w:r>
          </w:p>
        </w:tc>
        <w:tc>
          <w:tcPr>
            <w:tcW w:w="1350" w:type="dxa"/>
            <w:shd w:val="clear" w:color="auto" w:fill="auto"/>
            <w:noWrap/>
            <w:vAlign w:val="center"/>
          </w:tcPr>
          <w:p w:rsidR="007A7332" w:rsidRDefault="007A7332" w:rsidP="00A62769">
            <w:pPr>
              <w:jc w:val="center"/>
              <w:rPr>
                <w:color w:val="000000"/>
                <w:sz w:val="20"/>
                <w:szCs w:val="20"/>
              </w:rPr>
            </w:pPr>
            <w:r>
              <w:rPr>
                <w:color w:val="000000"/>
                <w:sz w:val="20"/>
                <w:szCs w:val="20"/>
              </w:rPr>
              <w:t>100 %</w:t>
            </w:r>
          </w:p>
        </w:tc>
        <w:tc>
          <w:tcPr>
            <w:tcW w:w="2977" w:type="dxa"/>
            <w:gridSpan w:val="2"/>
            <w:shd w:val="clear" w:color="auto" w:fill="auto"/>
            <w:noWrap/>
            <w:vAlign w:val="center"/>
          </w:tcPr>
          <w:p w:rsidR="007A7332" w:rsidRDefault="007A7332" w:rsidP="001C21CE">
            <w:pPr>
              <w:jc w:val="both"/>
              <w:rPr>
                <w:color w:val="000000"/>
                <w:sz w:val="20"/>
                <w:szCs w:val="20"/>
              </w:rPr>
            </w:pPr>
            <w:r>
              <w:rPr>
                <w:color w:val="000000"/>
                <w:sz w:val="20"/>
                <w:szCs w:val="16"/>
              </w:rPr>
              <w:t>Para proceso de trámite de cuenta fueron entregadas de parte de Contabilidad 1361 cuentas radicadas que cumplían con todos los parámetros para efectuar el pago, concluyó de parte de Tesorería con una ejecución de pagos del 100% lo que se traduce en el pago de 1361 cuentas en el mes de diciembre dentro del término de 5 días hábiles</w:t>
            </w:r>
          </w:p>
        </w:tc>
      </w:tr>
      <w:tr w:rsidR="007A7332" w:rsidRPr="001D3934" w:rsidTr="00B90824">
        <w:trPr>
          <w:trHeight w:val="60"/>
        </w:trPr>
        <w:tc>
          <w:tcPr>
            <w:tcW w:w="1985" w:type="dxa"/>
            <w:vAlign w:val="center"/>
          </w:tcPr>
          <w:p w:rsidR="007A7332" w:rsidRDefault="007A7332">
            <w:pPr>
              <w:rPr>
                <w:rFonts w:ascii="Calibri" w:hAnsi="Calibri"/>
                <w:color w:val="000000"/>
                <w:sz w:val="22"/>
                <w:szCs w:val="22"/>
              </w:rPr>
            </w:pPr>
            <w:r>
              <w:rPr>
                <w:rFonts w:ascii="Calibri" w:hAnsi="Calibri"/>
                <w:color w:val="000000"/>
                <w:sz w:val="22"/>
                <w:szCs w:val="22"/>
              </w:rPr>
              <w:t>Asesoría y defensa jurídica</w:t>
            </w:r>
          </w:p>
        </w:tc>
        <w:tc>
          <w:tcPr>
            <w:tcW w:w="1985" w:type="dxa"/>
            <w:shd w:val="clear" w:color="auto" w:fill="auto"/>
            <w:vAlign w:val="center"/>
            <w:hideMark/>
          </w:tcPr>
          <w:p w:rsidR="007A7332" w:rsidRDefault="007A7332">
            <w:pPr>
              <w:jc w:val="both"/>
              <w:rPr>
                <w:color w:val="000000"/>
                <w:sz w:val="20"/>
                <w:szCs w:val="20"/>
              </w:rPr>
            </w:pPr>
            <w:r>
              <w:rPr>
                <w:color w:val="000000"/>
                <w:sz w:val="20"/>
                <w:szCs w:val="20"/>
              </w:rPr>
              <w:t>Porcentaje de actuaciones procesales ejecutadas oportunamente 2019</w:t>
            </w:r>
          </w:p>
        </w:tc>
        <w:tc>
          <w:tcPr>
            <w:tcW w:w="709" w:type="dxa"/>
            <w:shd w:val="clear" w:color="auto" w:fill="auto"/>
            <w:noWrap/>
            <w:vAlign w:val="center"/>
            <w:hideMark/>
          </w:tcPr>
          <w:p w:rsidR="007A7332" w:rsidRDefault="007A7332"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7A7332" w:rsidRDefault="007A7332"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7A7332" w:rsidRDefault="007A7332">
            <w:pPr>
              <w:jc w:val="both"/>
              <w:rPr>
                <w:color w:val="000000"/>
                <w:sz w:val="20"/>
                <w:szCs w:val="20"/>
              </w:rPr>
            </w:pPr>
            <w:r>
              <w:rPr>
                <w:color w:val="000000"/>
                <w:sz w:val="20"/>
                <w:szCs w:val="20"/>
              </w:rPr>
              <w:t xml:space="preserve">Durante la  vigencia se realizaron el 100% de las actuaciones requeridas en forma oportuna.  La relación mensual de las actuaciones puede consultarse en el aplicativo </w:t>
            </w:r>
            <w:proofErr w:type="spellStart"/>
            <w:r>
              <w:rPr>
                <w:color w:val="000000"/>
                <w:sz w:val="20"/>
                <w:szCs w:val="20"/>
              </w:rPr>
              <w:t>ISOLUCIÓN</w:t>
            </w:r>
            <w:proofErr w:type="spellEnd"/>
            <w:r>
              <w:rPr>
                <w:color w:val="000000"/>
                <w:sz w:val="20"/>
                <w:szCs w:val="20"/>
              </w:rPr>
              <w:t>.</w:t>
            </w:r>
          </w:p>
        </w:tc>
      </w:tr>
      <w:tr w:rsidR="007A7332" w:rsidRPr="001D3934" w:rsidTr="00B90824">
        <w:trPr>
          <w:trHeight w:val="60"/>
        </w:trPr>
        <w:tc>
          <w:tcPr>
            <w:tcW w:w="1985" w:type="dxa"/>
            <w:vAlign w:val="center"/>
          </w:tcPr>
          <w:p w:rsidR="007A7332" w:rsidRDefault="007A7332">
            <w:pPr>
              <w:rPr>
                <w:rFonts w:ascii="Calibri" w:hAnsi="Calibri"/>
                <w:color w:val="000000"/>
                <w:sz w:val="22"/>
                <w:szCs w:val="22"/>
              </w:rPr>
            </w:pPr>
            <w:r>
              <w:rPr>
                <w:rFonts w:ascii="Calibri" w:hAnsi="Calibri"/>
                <w:color w:val="000000"/>
                <w:sz w:val="22"/>
                <w:szCs w:val="22"/>
              </w:rPr>
              <w:t>Asesoría y defensa jurídica</w:t>
            </w:r>
          </w:p>
        </w:tc>
        <w:tc>
          <w:tcPr>
            <w:tcW w:w="1985" w:type="dxa"/>
            <w:shd w:val="clear" w:color="auto" w:fill="auto"/>
            <w:vAlign w:val="center"/>
            <w:hideMark/>
          </w:tcPr>
          <w:p w:rsidR="007A7332" w:rsidRDefault="007A7332">
            <w:pPr>
              <w:jc w:val="both"/>
              <w:rPr>
                <w:color w:val="000000"/>
                <w:sz w:val="20"/>
                <w:szCs w:val="20"/>
              </w:rPr>
            </w:pPr>
            <w:r>
              <w:rPr>
                <w:color w:val="000000"/>
                <w:sz w:val="20"/>
                <w:szCs w:val="20"/>
              </w:rPr>
              <w:t>Porcentaje de conceptos jurídicos emitidos</w:t>
            </w:r>
          </w:p>
        </w:tc>
        <w:tc>
          <w:tcPr>
            <w:tcW w:w="709" w:type="dxa"/>
            <w:shd w:val="clear" w:color="auto" w:fill="auto"/>
            <w:noWrap/>
            <w:vAlign w:val="center"/>
            <w:hideMark/>
          </w:tcPr>
          <w:p w:rsidR="007A7332" w:rsidRDefault="007A7332"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7A7332" w:rsidRDefault="007A7332"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7A7332" w:rsidRDefault="007A7332">
            <w:pPr>
              <w:jc w:val="both"/>
              <w:rPr>
                <w:color w:val="000000"/>
                <w:sz w:val="20"/>
                <w:szCs w:val="20"/>
              </w:rPr>
            </w:pPr>
            <w:r>
              <w:rPr>
                <w:color w:val="000000"/>
                <w:sz w:val="20"/>
                <w:szCs w:val="20"/>
              </w:rPr>
              <w:t xml:space="preserve">En la vigencia 2019, se ha atendido oportunamente 27 solicitudes de conceptos jurídicos presentados a la Oficina. La relación se encuentra adjunta en el aplicativo </w:t>
            </w:r>
            <w:proofErr w:type="spellStart"/>
            <w:r>
              <w:rPr>
                <w:color w:val="000000"/>
                <w:sz w:val="20"/>
                <w:szCs w:val="20"/>
              </w:rPr>
              <w:t>Isolución</w:t>
            </w:r>
            <w:proofErr w:type="spellEnd"/>
            <w:r>
              <w:rPr>
                <w:color w:val="000000"/>
                <w:sz w:val="20"/>
                <w:szCs w:val="20"/>
              </w:rPr>
              <w:t>.</w:t>
            </w:r>
          </w:p>
        </w:tc>
      </w:tr>
      <w:tr w:rsidR="00E72CBA" w:rsidRPr="001D3934" w:rsidTr="006164A7">
        <w:trPr>
          <w:trHeight w:val="2480"/>
        </w:trPr>
        <w:tc>
          <w:tcPr>
            <w:tcW w:w="1985" w:type="dxa"/>
          </w:tcPr>
          <w:p w:rsidR="00E72CBA" w:rsidRDefault="004D3120">
            <w:pPr>
              <w:jc w:val="both"/>
              <w:rPr>
                <w:color w:val="000000"/>
                <w:sz w:val="20"/>
                <w:szCs w:val="20"/>
              </w:rPr>
            </w:pPr>
            <w:r>
              <w:rPr>
                <w:rFonts w:ascii="Calibri" w:hAnsi="Calibri"/>
                <w:color w:val="000000"/>
                <w:sz w:val="22"/>
                <w:szCs w:val="22"/>
              </w:rPr>
              <w:lastRenderedPageBreak/>
              <w:t>Asesoría y defensa jurídica</w:t>
            </w:r>
          </w:p>
        </w:tc>
        <w:tc>
          <w:tcPr>
            <w:tcW w:w="1985" w:type="dxa"/>
            <w:shd w:val="clear" w:color="auto" w:fill="auto"/>
            <w:vAlign w:val="center"/>
            <w:hideMark/>
          </w:tcPr>
          <w:p w:rsidR="00E72CBA" w:rsidRDefault="00E72CBA">
            <w:pPr>
              <w:jc w:val="both"/>
              <w:rPr>
                <w:color w:val="000000"/>
                <w:sz w:val="20"/>
                <w:szCs w:val="20"/>
              </w:rPr>
            </w:pPr>
            <w:r>
              <w:rPr>
                <w:color w:val="000000"/>
                <w:sz w:val="20"/>
                <w:szCs w:val="20"/>
              </w:rPr>
              <w:t>Porcentaje de cumplimiento de la Política de Prevención del Daño Antijurídico vigencia 2019</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El 11 de noviembre de 2019, se llevó a cabo la última capacitación sobre las generalidades del derecho de petición en las instalaciones de la sede la Agencia de Desarrollo Rural ubicada en el edificio </w:t>
            </w:r>
            <w:proofErr w:type="spellStart"/>
            <w:r>
              <w:rPr>
                <w:color w:val="000000"/>
                <w:sz w:val="20"/>
                <w:szCs w:val="20"/>
              </w:rPr>
              <w:t>WBP</w:t>
            </w:r>
            <w:proofErr w:type="spellEnd"/>
            <w:r>
              <w:rPr>
                <w:color w:val="000000"/>
                <w:sz w:val="20"/>
                <w:szCs w:val="20"/>
              </w:rPr>
              <w:t>. Se anexa respaldo documental. Con la realización de la referida jornada de capacitación, se dio cumplimiento a las 6 capacitaciones programadas para ejecutar la política de prevención del daño antijurídico en el 2019. Cumpliendo así con el cronograma propuesto a inicios del año 2019.</w:t>
            </w:r>
          </w:p>
        </w:tc>
      </w:tr>
      <w:tr w:rsidR="004D3120" w:rsidRPr="001D3934" w:rsidTr="00B90824">
        <w:trPr>
          <w:trHeight w:val="1821"/>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t>Evaluación independiente</w:t>
            </w:r>
          </w:p>
        </w:tc>
        <w:tc>
          <w:tcPr>
            <w:tcW w:w="1985" w:type="dxa"/>
            <w:shd w:val="clear" w:color="auto" w:fill="auto"/>
            <w:vAlign w:val="center"/>
            <w:hideMark/>
          </w:tcPr>
          <w:p w:rsidR="004D3120" w:rsidRDefault="004D3120">
            <w:pPr>
              <w:jc w:val="both"/>
              <w:rPr>
                <w:color w:val="000000"/>
                <w:sz w:val="20"/>
                <w:szCs w:val="20"/>
              </w:rPr>
            </w:pPr>
            <w:r>
              <w:rPr>
                <w:color w:val="000000"/>
                <w:sz w:val="20"/>
                <w:szCs w:val="20"/>
              </w:rPr>
              <w:t>Porcentaje de Informes emitidos y publicados, de acuerdo con las actividades aprobadas en el Plan Anual de Auditoría 2019</w:t>
            </w:r>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La Oficina de Control Interno emitió y publicó 37 informes de auditoría, de acuerdo al plan de trabajo programado para la vigencia 2019 y aprobado por el Comité Coordinador de Control Interno de la ADR.</w:t>
            </w:r>
          </w:p>
        </w:tc>
      </w:tr>
      <w:tr w:rsidR="004D3120" w:rsidRPr="001D3934" w:rsidTr="00B90824">
        <w:trPr>
          <w:trHeight w:val="164"/>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t>Asesoría y defensa jurídica</w:t>
            </w:r>
          </w:p>
        </w:tc>
        <w:tc>
          <w:tcPr>
            <w:tcW w:w="1985" w:type="dxa"/>
            <w:shd w:val="clear" w:color="auto" w:fill="auto"/>
            <w:vAlign w:val="center"/>
            <w:hideMark/>
          </w:tcPr>
          <w:p w:rsidR="004D3120" w:rsidRDefault="004D3120">
            <w:pPr>
              <w:jc w:val="both"/>
              <w:rPr>
                <w:color w:val="000000"/>
                <w:sz w:val="20"/>
                <w:szCs w:val="20"/>
              </w:rPr>
            </w:pPr>
            <w:r>
              <w:rPr>
                <w:color w:val="000000"/>
                <w:sz w:val="20"/>
                <w:szCs w:val="20"/>
              </w:rPr>
              <w:t>Porcentaje de requerimientos respondidos oportunamente</w:t>
            </w:r>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En lo corrido del año se han respondido oportunamente 220  requerimientos recibidos en el proceso de cobro coactivo.</w:t>
            </w:r>
          </w:p>
        </w:tc>
      </w:tr>
      <w:tr w:rsidR="004D3120" w:rsidRPr="001D3934" w:rsidTr="00B90824">
        <w:trPr>
          <w:trHeight w:val="1800"/>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t>Asesoría y defensa jurídica</w:t>
            </w:r>
          </w:p>
        </w:tc>
        <w:tc>
          <w:tcPr>
            <w:tcW w:w="1985" w:type="dxa"/>
            <w:shd w:val="clear" w:color="auto" w:fill="auto"/>
            <w:vAlign w:val="center"/>
            <w:hideMark/>
          </w:tcPr>
          <w:p w:rsidR="004D3120" w:rsidRDefault="004D3120">
            <w:pPr>
              <w:rPr>
                <w:color w:val="000000"/>
                <w:sz w:val="20"/>
                <w:szCs w:val="20"/>
              </w:rPr>
            </w:pPr>
            <w:r>
              <w:rPr>
                <w:color w:val="000000"/>
                <w:sz w:val="20"/>
                <w:szCs w:val="20"/>
              </w:rPr>
              <w:t>Porcentaje de respuesta oportuna a las acciones de tutela y a los requerimientos judiciales que vinculen a la Agencia de Desarrollo Rural</w:t>
            </w:r>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En el año 2019 se han atendido oportunamente 155 acciones de tutela y requerimientos judiciales que vinculan a la ADR.</w:t>
            </w:r>
          </w:p>
        </w:tc>
      </w:tr>
      <w:tr w:rsidR="00E72CBA" w:rsidRPr="001D3934" w:rsidTr="006164A7">
        <w:trPr>
          <w:trHeight w:val="900"/>
        </w:trPr>
        <w:tc>
          <w:tcPr>
            <w:tcW w:w="1985" w:type="dxa"/>
          </w:tcPr>
          <w:p w:rsidR="004D3120" w:rsidRDefault="004D3120" w:rsidP="004D3120">
            <w:pPr>
              <w:rPr>
                <w:rFonts w:ascii="Calibri" w:hAnsi="Calibri"/>
                <w:color w:val="000000"/>
                <w:sz w:val="22"/>
                <w:szCs w:val="22"/>
              </w:rPr>
            </w:pPr>
            <w:r>
              <w:rPr>
                <w:rFonts w:ascii="Calibri" w:hAnsi="Calibri"/>
                <w:color w:val="000000"/>
                <w:sz w:val="22"/>
                <w:szCs w:val="22"/>
              </w:rPr>
              <w:t>Control disciplinario interno</w:t>
            </w:r>
          </w:p>
          <w:p w:rsidR="00E72CBA" w:rsidRDefault="00E72CBA">
            <w:pPr>
              <w:rPr>
                <w:color w:val="000000"/>
                <w:sz w:val="20"/>
                <w:szCs w:val="20"/>
              </w:rPr>
            </w:pPr>
          </w:p>
        </w:tc>
        <w:tc>
          <w:tcPr>
            <w:tcW w:w="1985" w:type="dxa"/>
            <w:shd w:val="clear" w:color="auto" w:fill="auto"/>
            <w:vAlign w:val="center"/>
            <w:hideMark/>
          </w:tcPr>
          <w:p w:rsidR="00E72CBA" w:rsidRDefault="00E72CBA">
            <w:pPr>
              <w:rPr>
                <w:color w:val="000000"/>
                <w:sz w:val="20"/>
                <w:szCs w:val="20"/>
              </w:rPr>
            </w:pPr>
            <w:r>
              <w:rPr>
                <w:color w:val="000000"/>
                <w:sz w:val="20"/>
                <w:szCs w:val="20"/>
              </w:rPr>
              <w:t>Proceso de Gestión de Control Interno Disciplinario ejecutado</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Durante el año 2019, el número de actuaciones disciplinarias presentó una disminución en relación con el año inmediatamente anterior, al </w:t>
            </w:r>
            <w:r>
              <w:rPr>
                <w:color w:val="000000"/>
                <w:sz w:val="20"/>
                <w:szCs w:val="20"/>
              </w:rPr>
              <w:lastRenderedPageBreak/>
              <w:t>cierre de 2019 se registró 26 procesos en cierre dejando únicamente 160 procesos activos.</w:t>
            </w:r>
          </w:p>
        </w:tc>
      </w:tr>
      <w:tr w:rsidR="004D3120" w:rsidRPr="001D3934" w:rsidTr="00B90824">
        <w:trPr>
          <w:trHeight w:val="60"/>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lastRenderedPageBreak/>
              <w:t xml:space="preserve">Gestión documental </w:t>
            </w:r>
          </w:p>
        </w:tc>
        <w:tc>
          <w:tcPr>
            <w:tcW w:w="1985" w:type="dxa"/>
            <w:shd w:val="clear" w:color="auto" w:fill="auto"/>
            <w:vAlign w:val="center"/>
            <w:hideMark/>
          </w:tcPr>
          <w:p w:rsidR="004D3120" w:rsidRDefault="004D3120">
            <w:pPr>
              <w:rPr>
                <w:color w:val="000000"/>
                <w:sz w:val="20"/>
                <w:szCs w:val="20"/>
              </w:rPr>
            </w:pPr>
            <w:r>
              <w:rPr>
                <w:color w:val="000000"/>
                <w:sz w:val="20"/>
                <w:szCs w:val="20"/>
              </w:rPr>
              <w:t>Programa de gestión Documental ejecutado</w:t>
            </w:r>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94.53 %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Se realizó la entrada en producción del Sistema de Gestión Documental Orfeo en las 13 Unidades Técnicas Territoriales entre julio y octubre de 2019. Los documentos archivísticos  fueron presentados en el Comité Institucional de Gestión y Desempeño realizado el 30 de agosto de 2019.   Se realizó la organización de archivos de gestión con un producto terminado de 23 metros lineales de archivo de las series órdenes de pago, empresas comunitarias, procesos disciplinarios, cartera, distritos de riesgo, acciones constitucionales, contabilidad tesorería, atención al ciudadano y nómina. Se está realizando la intervención de 1.273 metros lineales por parte de la Unión Temporal Desarrollo 2019 a través del contrato 538 de 2019.</w:t>
            </w:r>
          </w:p>
        </w:tc>
      </w:tr>
      <w:tr w:rsidR="004D3120" w:rsidRPr="001D3934" w:rsidTr="00B90824">
        <w:trPr>
          <w:trHeight w:val="60"/>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t>Gestión talento humano</w:t>
            </w:r>
          </w:p>
        </w:tc>
        <w:tc>
          <w:tcPr>
            <w:tcW w:w="1985" w:type="dxa"/>
            <w:shd w:val="clear" w:color="auto" w:fill="auto"/>
            <w:vAlign w:val="center"/>
            <w:hideMark/>
          </w:tcPr>
          <w:p w:rsidR="004D3120" w:rsidRDefault="004D3120">
            <w:pPr>
              <w:rPr>
                <w:color w:val="000000"/>
                <w:sz w:val="20"/>
                <w:szCs w:val="20"/>
              </w:rPr>
            </w:pPr>
            <w:r>
              <w:rPr>
                <w:color w:val="000000"/>
                <w:sz w:val="20"/>
                <w:szCs w:val="20"/>
              </w:rPr>
              <w:t xml:space="preserve">Realización del trámite ante la </w:t>
            </w:r>
            <w:proofErr w:type="spellStart"/>
            <w:r>
              <w:rPr>
                <w:color w:val="000000"/>
                <w:sz w:val="20"/>
                <w:szCs w:val="20"/>
              </w:rPr>
              <w:t>CNSC</w:t>
            </w:r>
            <w:proofErr w:type="spellEnd"/>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 xml:space="preserve">Se debe ejecutar el proceso de la Oferta Pública de Empleos de Carrera </w:t>
            </w:r>
            <w:proofErr w:type="spellStart"/>
            <w:r>
              <w:rPr>
                <w:color w:val="000000"/>
                <w:sz w:val="20"/>
                <w:szCs w:val="20"/>
              </w:rPr>
              <w:t>OPEC</w:t>
            </w:r>
            <w:proofErr w:type="spellEnd"/>
            <w:r>
              <w:rPr>
                <w:color w:val="000000"/>
                <w:sz w:val="20"/>
                <w:szCs w:val="20"/>
              </w:rPr>
              <w:t xml:space="preserve"> conforme al cronograma, compromisos y etapas que establezca la Comisión Nacional del Servicio Civil-</w:t>
            </w:r>
            <w:proofErr w:type="spellStart"/>
            <w:r>
              <w:rPr>
                <w:color w:val="000000"/>
                <w:sz w:val="20"/>
                <w:szCs w:val="20"/>
              </w:rPr>
              <w:t>CNSC</w:t>
            </w:r>
            <w:proofErr w:type="spellEnd"/>
            <w:r>
              <w:rPr>
                <w:color w:val="000000"/>
                <w:sz w:val="20"/>
                <w:szCs w:val="20"/>
              </w:rPr>
              <w:t xml:space="preserve">: -Se realizó la capacitación sobre el concurso de méritos con la </w:t>
            </w:r>
            <w:proofErr w:type="spellStart"/>
            <w:r>
              <w:rPr>
                <w:color w:val="000000"/>
                <w:sz w:val="20"/>
                <w:szCs w:val="20"/>
              </w:rPr>
              <w:t>CNSC</w:t>
            </w:r>
            <w:proofErr w:type="spellEnd"/>
            <w:r>
              <w:rPr>
                <w:color w:val="000000"/>
                <w:sz w:val="20"/>
                <w:szCs w:val="20"/>
              </w:rPr>
              <w:t xml:space="preserve"> y sobre el proceso de elaboración de las pruebas psicotécnicas. -Se realizó mesa de trabajo para identificar las </w:t>
            </w:r>
            <w:r>
              <w:rPr>
                <w:color w:val="000000"/>
                <w:sz w:val="20"/>
                <w:szCs w:val="20"/>
              </w:rPr>
              <w:lastRenderedPageBreak/>
              <w:t xml:space="preserve">competencias de comportamiento y habilidades por cada empleo de la </w:t>
            </w:r>
            <w:proofErr w:type="spellStart"/>
            <w:r>
              <w:rPr>
                <w:color w:val="000000"/>
                <w:sz w:val="20"/>
                <w:szCs w:val="20"/>
              </w:rPr>
              <w:t>OPEC</w:t>
            </w:r>
            <w:proofErr w:type="spellEnd"/>
            <w:r>
              <w:rPr>
                <w:color w:val="000000"/>
                <w:sz w:val="20"/>
                <w:szCs w:val="20"/>
              </w:rPr>
              <w:t xml:space="preserve"> de la entidad</w:t>
            </w:r>
          </w:p>
        </w:tc>
      </w:tr>
      <w:tr w:rsidR="00E72CBA" w:rsidRPr="001D3934" w:rsidTr="006164A7">
        <w:trPr>
          <w:trHeight w:val="4140"/>
        </w:trPr>
        <w:tc>
          <w:tcPr>
            <w:tcW w:w="1985" w:type="dxa"/>
          </w:tcPr>
          <w:p w:rsidR="004D3120" w:rsidRDefault="004D3120" w:rsidP="004D3120">
            <w:pPr>
              <w:rPr>
                <w:rFonts w:ascii="Calibri" w:hAnsi="Calibri"/>
                <w:color w:val="000000"/>
                <w:sz w:val="22"/>
                <w:szCs w:val="22"/>
              </w:rPr>
            </w:pPr>
            <w:r>
              <w:rPr>
                <w:rFonts w:ascii="Calibri" w:hAnsi="Calibri"/>
                <w:color w:val="000000"/>
                <w:sz w:val="22"/>
                <w:szCs w:val="22"/>
              </w:rPr>
              <w:lastRenderedPageBreak/>
              <w:t>Gestión administrativa</w:t>
            </w:r>
          </w:p>
          <w:p w:rsidR="00E72CBA" w:rsidRDefault="00E72CBA">
            <w:pPr>
              <w:rPr>
                <w:color w:val="000000"/>
                <w:sz w:val="20"/>
                <w:szCs w:val="20"/>
              </w:rPr>
            </w:pPr>
          </w:p>
        </w:tc>
        <w:tc>
          <w:tcPr>
            <w:tcW w:w="1985" w:type="dxa"/>
            <w:shd w:val="clear" w:color="auto" w:fill="auto"/>
            <w:vAlign w:val="center"/>
            <w:hideMark/>
          </w:tcPr>
          <w:p w:rsidR="00E72CBA" w:rsidRDefault="00E72CBA">
            <w:pPr>
              <w:rPr>
                <w:color w:val="000000"/>
                <w:sz w:val="20"/>
                <w:szCs w:val="20"/>
              </w:rPr>
            </w:pPr>
            <w:r>
              <w:rPr>
                <w:color w:val="000000"/>
                <w:sz w:val="20"/>
                <w:szCs w:val="20"/>
              </w:rPr>
              <w:t>Sedes administrativas a nivel nacional con mantenimientos y adecuaciones realizadas</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83 %</w:t>
            </w:r>
          </w:p>
        </w:tc>
        <w:tc>
          <w:tcPr>
            <w:tcW w:w="2977" w:type="dxa"/>
            <w:gridSpan w:val="2"/>
            <w:shd w:val="clear" w:color="auto" w:fill="auto"/>
            <w:noWrap/>
            <w:vAlign w:val="center"/>
            <w:hideMark/>
          </w:tcPr>
          <w:p w:rsidR="00E72CBA" w:rsidRDefault="00E72CBA">
            <w:pPr>
              <w:jc w:val="both"/>
              <w:rPr>
                <w:color w:val="000000"/>
                <w:sz w:val="20"/>
                <w:szCs w:val="20"/>
              </w:rPr>
            </w:pPr>
            <w:r>
              <w:rPr>
                <w:color w:val="000000"/>
                <w:sz w:val="20"/>
                <w:szCs w:val="20"/>
              </w:rPr>
              <w:t xml:space="preserve">Ejecutar los mantenimientos y adecuaciones de las sedes (central, </w:t>
            </w:r>
            <w:proofErr w:type="spellStart"/>
            <w:r>
              <w:rPr>
                <w:color w:val="000000"/>
                <w:sz w:val="20"/>
                <w:szCs w:val="20"/>
              </w:rPr>
              <w:t>UTTs</w:t>
            </w:r>
            <w:proofErr w:type="spellEnd"/>
            <w:r>
              <w:rPr>
                <w:color w:val="000000"/>
                <w:sz w:val="20"/>
                <w:szCs w:val="20"/>
              </w:rPr>
              <w:t xml:space="preserve">): Para este hito se tiene un porcentaje de avance de 100%, debido a que al mes de diciembre se ejecutaron todas las actividades priorizadas bajo los contratos de Obra N° 651 DE 2019. Se da inicio de las actividades el día 21 de noviembre, en las siguientes </w:t>
            </w:r>
            <w:proofErr w:type="spellStart"/>
            <w:r>
              <w:rPr>
                <w:color w:val="000000"/>
                <w:sz w:val="20"/>
                <w:szCs w:val="20"/>
              </w:rPr>
              <w:t>UTTs</w:t>
            </w:r>
            <w:proofErr w:type="spellEnd"/>
            <w:r>
              <w:rPr>
                <w:color w:val="000000"/>
                <w:sz w:val="20"/>
                <w:szCs w:val="20"/>
              </w:rPr>
              <w:t xml:space="preserve">: Santa Marta, Cartagena, Medellín, Tunja, Ibagué, Neiva, y Sede Central. (22 actividades de priorización) = 22/22 = 100% Continuar con las actividades de Adecuación y Mantenimiento de las Sedes Administrativas de acuerdo con los requerimientos y parámetros del Consejo Iberoamericano de Diseño y Accesibilidad 50%.   Ejecutar mantenimiento del inmueble donde se encuentra ubicada la Sede Central atendiendo los Requerimientos del Instituto Distrital de Gestión de Riesgos y Cambio Climático – </w:t>
            </w:r>
            <w:proofErr w:type="spellStart"/>
            <w:r>
              <w:rPr>
                <w:color w:val="000000"/>
                <w:sz w:val="20"/>
                <w:szCs w:val="20"/>
              </w:rPr>
              <w:t>IDIGER</w:t>
            </w:r>
            <w:proofErr w:type="spellEnd"/>
            <w:r>
              <w:rPr>
                <w:color w:val="000000"/>
                <w:sz w:val="20"/>
                <w:szCs w:val="20"/>
              </w:rPr>
              <w:t xml:space="preserve">: Para este Hito tenemos un avance del 33% con respecto a las recomendaciones dada por el </w:t>
            </w:r>
            <w:proofErr w:type="spellStart"/>
            <w:r>
              <w:rPr>
                <w:color w:val="000000"/>
                <w:sz w:val="20"/>
                <w:szCs w:val="20"/>
              </w:rPr>
              <w:t>IDIGER</w:t>
            </w:r>
            <w:proofErr w:type="spellEnd"/>
            <w:r>
              <w:rPr>
                <w:color w:val="000000"/>
                <w:sz w:val="20"/>
                <w:szCs w:val="20"/>
              </w:rPr>
              <w:t>, se tuvieron en cuenta dentro del contrato de mantenimiento y adecuación en la sede central – Bogotá para darle continuidad a la ejecución de la actividades proyectadas =3/3 = 100%</w:t>
            </w:r>
          </w:p>
        </w:tc>
      </w:tr>
      <w:tr w:rsidR="004D3120" w:rsidRPr="001D3934" w:rsidTr="00B90824">
        <w:trPr>
          <w:trHeight w:val="447"/>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lastRenderedPageBreak/>
              <w:t>Participación y atención al ciudadano</w:t>
            </w:r>
          </w:p>
        </w:tc>
        <w:tc>
          <w:tcPr>
            <w:tcW w:w="1985" w:type="dxa"/>
            <w:shd w:val="clear" w:color="auto" w:fill="auto"/>
            <w:vAlign w:val="center"/>
            <w:hideMark/>
          </w:tcPr>
          <w:p w:rsidR="004D3120" w:rsidRDefault="004D3120">
            <w:pPr>
              <w:rPr>
                <w:color w:val="000000"/>
                <w:sz w:val="20"/>
                <w:szCs w:val="20"/>
              </w:rPr>
            </w:pPr>
            <w:r>
              <w:rPr>
                <w:color w:val="000000"/>
                <w:sz w:val="20"/>
                <w:szCs w:val="20"/>
              </w:rPr>
              <w:t xml:space="preserve">Seguimiento al esquema de atención al ciudadano en la sede central y en las Unidades Técnicas Territoriales </w:t>
            </w:r>
            <w:proofErr w:type="spellStart"/>
            <w:r>
              <w:rPr>
                <w:color w:val="000000"/>
                <w:sz w:val="20"/>
                <w:szCs w:val="20"/>
              </w:rPr>
              <w:t>UTTs</w:t>
            </w:r>
            <w:proofErr w:type="spellEnd"/>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Default="004D3120">
            <w:pPr>
              <w:jc w:val="both"/>
              <w:rPr>
                <w:color w:val="000000"/>
                <w:sz w:val="20"/>
                <w:szCs w:val="20"/>
              </w:rPr>
            </w:pPr>
            <w:r>
              <w:rPr>
                <w:color w:val="000000"/>
                <w:sz w:val="20"/>
                <w:szCs w:val="20"/>
              </w:rPr>
              <w:t>Se realizó el tercer informe de seguimiento al esquema de atención al ciudadano con corte a 13 de Diciembre. Se recibieron las evidencias al mismo. (Corresponde al 50%) 2. Mensualmente se publica en la página web, las estadísticas de las atenciones en los diferentes puntos de atención al ciudadano a nivel nacional. (Corresponde al 50%)</w:t>
            </w:r>
          </w:p>
        </w:tc>
      </w:tr>
      <w:tr w:rsidR="004D3120" w:rsidRPr="001D3934" w:rsidTr="00B90824">
        <w:trPr>
          <w:trHeight w:val="1865"/>
        </w:trPr>
        <w:tc>
          <w:tcPr>
            <w:tcW w:w="1985" w:type="dxa"/>
            <w:vAlign w:val="center"/>
          </w:tcPr>
          <w:p w:rsidR="004D3120" w:rsidRDefault="004D3120">
            <w:pPr>
              <w:rPr>
                <w:rFonts w:ascii="Calibri" w:hAnsi="Calibri"/>
                <w:color w:val="000000"/>
                <w:sz w:val="22"/>
                <w:szCs w:val="22"/>
              </w:rPr>
            </w:pPr>
            <w:r>
              <w:rPr>
                <w:rFonts w:ascii="Calibri" w:hAnsi="Calibri"/>
                <w:color w:val="000000"/>
                <w:sz w:val="22"/>
                <w:szCs w:val="22"/>
              </w:rPr>
              <w:t>Gestión administrativa</w:t>
            </w:r>
          </w:p>
        </w:tc>
        <w:tc>
          <w:tcPr>
            <w:tcW w:w="1985" w:type="dxa"/>
            <w:shd w:val="clear" w:color="auto" w:fill="auto"/>
            <w:vAlign w:val="center"/>
            <w:hideMark/>
          </w:tcPr>
          <w:p w:rsidR="004D3120" w:rsidRDefault="004D3120">
            <w:pPr>
              <w:rPr>
                <w:color w:val="000000"/>
                <w:sz w:val="20"/>
                <w:szCs w:val="20"/>
              </w:rPr>
            </w:pPr>
            <w:r>
              <w:rPr>
                <w:color w:val="000000"/>
                <w:sz w:val="20"/>
                <w:szCs w:val="20"/>
              </w:rPr>
              <w:t>Total de Inventario de bienes inmuebles transferidos mediante Resolución N° 1275 de 2016 a la ADR en cada uno de los Distritos de Adecuación de Tierras de Pequeña Escala depurados</w:t>
            </w:r>
          </w:p>
        </w:tc>
        <w:tc>
          <w:tcPr>
            <w:tcW w:w="709"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4D3120" w:rsidRDefault="004D3120"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4D3120" w:rsidRPr="004C41D0" w:rsidRDefault="004D3120" w:rsidP="0057340C">
            <w:r>
              <w:rPr>
                <w:color w:val="000000"/>
                <w:sz w:val="20"/>
                <w:szCs w:val="20"/>
              </w:rPr>
              <w:t>Al corte 31 de diciembre de 2019, se cumplió con la totalidad de los 35 distritos de adecuación de tierras de pequeña escala señalados dentro de la meta del plan de acción</w:t>
            </w:r>
          </w:p>
          <w:p w:rsidR="004D3120" w:rsidRDefault="004D3120">
            <w:pPr>
              <w:jc w:val="both"/>
              <w:rPr>
                <w:color w:val="000000"/>
                <w:sz w:val="20"/>
                <w:szCs w:val="20"/>
              </w:rPr>
            </w:pPr>
          </w:p>
        </w:tc>
      </w:tr>
      <w:tr w:rsidR="00E72CBA" w:rsidRPr="001D3934" w:rsidTr="006164A7">
        <w:trPr>
          <w:trHeight w:val="1022"/>
        </w:trPr>
        <w:tc>
          <w:tcPr>
            <w:tcW w:w="1985" w:type="dxa"/>
          </w:tcPr>
          <w:p w:rsidR="00785333" w:rsidRDefault="00785333" w:rsidP="00785333">
            <w:pPr>
              <w:rPr>
                <w:rFonts w:ascii="Calibri" w:hAnsi="Calibri"/>
                <w:color w:val="000000"/>
                <w:sz w:val="22"/>
                <w:szCs w:val="22"/>
              </w:rPr>
            </w:pPr>
            <w:r>
              <w:rPr>
                <w:rFonts w:ascii="Calibri" w:hAnsi="Calibri"/>
                <w:color w:val="000000"/>
                <w:sz w:val="22"/>
                <w:szCs w:val="22"/>
              </w:rPr>
              <w:t>Gestión administrativa</w:t>
            </w:r>
          </w:p>
          <w:p w:rsidR="00E72CBA" w:rsidRDefault="00E72CBA">
            <w:pPr>
              <w:rPr>
                <w:color w:val="000000"/>
                <w:sz w:val="20"/>
                <w:szCs w:val="20"/>
              </w:rPr>
            </w:pPr>
          </w:p>
        </w:tc>
        <w:tc>
          <w:tcPr>
            <w:tcW w:w="1985" w:type="dxa"/>
            <w:shd w:val="clear" w:color="auto" w:fill="auto"/>
            <w:vAlign w:val="center"/>
            <w:hideMark/>
          </w:tcPr>
          <w:p w:rsidR="00E72CBA" w:rsidRDefault="00E72CBA">
            <w:pPr>
              <w:rPr>
                <w:color w:val="000000"/>
                <w:sz w:val="20"/>
                <w:szCs w:val="20"/>
              </w:rPr>
            </w:pPr>
            <w:r>
              <w:rPr>
                <w:color w:val="000000"/>
                <w:sz w:val="20"/>
                <w:szCs w:val="20"/>
              </w:rPr>
              <w:t>Total de Inventario de bienes muebles depurados en cada uno de los Distritos de Adecuación de Tierras de Pequeña Escala</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vAlign w:val="center"/>
            <w:hideMark/>
          </w:tcPr>
          <w:p w:rsidR="00E72CBA" w:rsidRDefault="00E72CBA">
            <w:pPr>
              <w:jc w:val="both"/>
              <w:rPr>
                <w:color w:val="000000"/>
                <w:sz w:val="20"/>
                <w:szCs w:val="20"/>
              </w:rPr>
            </w:pPr>
            <w:r>
              <w:rPr>
                <w:color w:val="000000"/>
                <w:sz w:val="20"/>
                <w:szCs w:val="20"/>
              </w:rPr>
              <w:t>Se asistió a reunión de comité institucional de gestión y desempeño (acta 03 de junio 14 2019) donde se redujeron las metas, falta aprobación del consejo directivo. Entre tanto se recibieron los informes de visitas realizadas por adecuación de tierras donde se evidencia que bienes muebles no hay; no obstante se adjuntan 7 informes adicionales enviados por adecuación de tierras de pequeña escala visitados para un total de 35.</w:t>
            </w:r>
          </w:p>
        </w:tc>
      </w:tr>
      <w:tr w:rsidR="00E72CBA" w:rsidRPr="001D3934" w:rsidTr="006164A7">
        <w:trPr>
          <w:trHeight w:val="1014"/>
        </w:trPr>
        <w:tc>
          <w:tcPr>
            <w:tcW w:w="1985" w:type="dxa"/>
          </w:tcPr>
          <w:p w:rsidR="00785333" w:rsidRDefault="00785333" w:rsidP="00785333">
            <w:pPr>
              <w:rPr>
                <w:rFonts w:ascii="Calibri" w:hAnsi="Calibri"/>
                <w:color w:val="000000"/>
                <w:sz w:val="22"/>
                <w:szCs w:val="22"/>
              </w:rPr>
            </w:pPr>
            <w:r>
              <w:rPr>
                <w:rFonts w:ascii="Calibri" w:hAnsi="Calibri"/>
                <w:color w:val="000000"/>
                <w:sz w:val="22"/>
                <w:szCs w:val="22"/>
              </w:rPr>
              <w:t>Gestión administrativa</w:t>
            </w:r>
          </w:p>
          <w:p w:rsidR="00E72CBA" w:rsidRDefault="00E72CBA">
            <w:pPr>
              <w:rPr>
                <w:color w:val="000000"/>
                <w:sz w:val="20"/>
                <w:szCs w:val="20"/>
              </w:rPr>
            </w:pPr>
          </w:p>
        </w:tc>
        <w:tc>
          <w:tcPr>
            <w:tcW w:w="1985" w:type="dxa"/>
            <w:shd w:val="clear" w:color="auto" w:fill="auto"/>
            <w:vAlign w:val="center"/>
            <w:hideMark/>
          </w:tcPr>
          <w:p w:rsidR="00785333" w:rsidRDefault="00E72CBA">
            <w:pPr>
              <w:rPr>
                <w:color w:val="000000"/>
                <w:sz w:val="20"/>
                <w:szCs w:val="20"/>
              </w:rPr>
            </w:pPr>
            <w:r>
              <w:rPr>
                <w:color w:val="000000"/>
                <w:sz w:val="20"/>
                <w:szCs w:val="20"/>
              </w:rPr>
              <w:t xml:space="preserve">Total Inventario de bienes inmuebles depurados en: - Distritos de Adecuación de Tierras de Mediana </w:t>
            </w:r>
            <w:r>
              <w:rPr>
                <w:color w:val="000000"/>
                <w:sz w:val="20"/>
                <w:szCs w:val="20"/>
              </w:rPr>
              <w:lastRenderedPageBreak/>
              <w:t xml:space="preserve">y Gran Escala - 3 Grandes Proyectos productivos - Sedes de las Unidades Técnicas </w:t>
            </w:r>
          </w:p>
          <w:p w:rsidR="00785333" w:rsidRDefault="00785333" w:rsidP="00785333">
            <w:pPr>
              <w:rPr>
                <w:rFonts w:ascii="Calibri" w:hAnsi="Calibri"/>
                <w:color w:val="000000"/>
                <w:sz w:val="22"/>
                <w:szCs w:val="22"/>
              </w:rPr>
            </w:pPr>
            <w:r>
              <w:rPr>
                <w:rFonts w:ascii="Calibri" w:hAnsi="Calibri"/>
                <w:color w:val="000000"/>
                <w:sz w:val="22"/>
                <w:szCs w:val="22"/>
              </w:rPr>
              <w:t>Gestión administrativa</w:t>
            </w:r>
          </w:p>
          <w:p w:rsidR="00E72CBA" w:rsidRDefault="00E72CBA">
            <w:pPr>
              <w:rPr>
                <w:color w:val="000000"/>
                <w:sz w:val="20"/>
                <w:szCs w:val="20"/>
              </w:rPr>
            </w:pPr>
            <w:r>
              <w:rPr>
                <w:color w:val="000000"/>
                <w:sz w:val="20"/>
                <w:szCs w:val="20"/>
              </w:rPr>
              <w:t>Territoriales propias - Sede Central.</w:t>
            </w:r>
          </w:p>
        </w:tc>
        <w:tc>
          <w:tcPr>
            <w:tcW w:w="709" w:type="dxa"/>
            <w:shd w:val="clear" w:color="auto" w:fill="auto"/>
            <w:noWrap/>
            <w:vAlign w:val="center"/>
            <w:hideMark/>
          </w:tcPr>
          <w:p w:rsidR="00E72CBA" w:rsidRDefault="00E72CBA" w:rsidP="00A62769">
            <w:pPr>
              <w:jc w:val="center"/>
              <w:rPr>
                <w:color w:val="000000"/>
                <w:sz w:val="20"/>
                <w:szCs w:val="20"/>
              </w:rPr>
            </w:pPr>
            <w:r>
              <w:rPr>
                <w:color w:val="000000"/>
                <w:sz w:val="20"/>
                <w:szCs w:val="20"/>
              </w:rPr>
              <w:lastRenderedPageBreak/>
              <w:t>100</w:t>
            </w:r>
          </w:p>
        </w:tc>
        <w:tc>
          <w:tcPr>
            <w:tcW w:w="1350" w:type="dxa"/>
            <w:shd w:val="clear" w:color="auto" w:fill="auto"/>
            <w:noWrap/>
            <w:vAlign w:val="center"/>
            <w:hideMark/>
          </w:tcPr>
          <w:p w:rsidR="00E72CBA" w:rsidRDefault="00E72CBA" w:rsidP="00A62769">
            <w:pPr>
              <w:jc w:val="center"/>
              <w:rPr>
                <w:color w:val="000000"/>
                <w:sz w:val="20"/>
                <w:szCs w:val="20"/>
              </w:rPr>
            </w:pPr>
            <w:r>
              <w:rPr>
                <w:color w:val="000000"/>
                <w:sz w:val="20"/>
                <w:szCs w:val="20"/>
              </w:rPr>
              <w:t>100 %</w:t>
            </w:r>
          </w:p>
        </w:tc>
        <w:tc>
          <w:tcPr>
            <w:tcW w:w="2977" w:type="dxa"/>
            <w:gridSpan w:val="2"/>
            <w:shd w:val="clear" w:color="auto" w:fill="auto"/>
            <w:noWrap/>
            <w:vAlign w:val="center"/>
            <w:hideMark/>
          </w:tcPr>
          <w:p w:rsidR="00E72CBA" w:rsidRDefault="00E72CBA" w:rsidP="00785333">
            <w:pPr>
              <w:jc w:val="both"/>
              <w:rPr>
                <w:color w:val="000000"/>
                <w:sz w:val="20"/>
                <w:szCs w:val="20"/>
              </w:rPr>
            </w:pPr>
            <w:r>
              <w:rPr>
                <w:color w:val="000000"/>
                <w:sz w:val="20"/>
                <w:szCs w:val="20"/>
              </w:rPr>
              <w:t xml:space="preserve">Se asistió a reunión de comité institucional de gestión y desempeño (acta 03 de junio 14 2019) donde se redujeron las metas, falta aprobación del consejo directivo. Entre tanto </w:t>
            </w:r>
            <w:r>
              <w:rPr>
                <w:color w:val="000000"/>
                <w:sz w:val="20"/>
                <w:szCs w:val="20"/>
              </w:rPr>
              <w:lastRenderedPageBreak/>
              <w:t>se recibieron los informes de visitas realizadas por adecuación de tierras donde se evidencia que bienes muebles no hay; no obstante se adjuntan 7 informes adicionales enviados por adecuación de tierras de pequeña escala visitados para un total de 35.</w:t>
            </w:r>
          </w:p>
        </w:tc>
      </w:tr>
    </w:tbl>
    <w:p w:rsidR="00661CF4" w:rsidRDefault="002B39D3" w:rsidP="00EB346A">
      <w:r w:rsidRPr="00315029">
        <w:rPr>
          <w:sz w:val="16"/>
        </w:rPr>
        <w:lastRenderedPageBreak/>
        <w:t xml:space="preserve">Fuente: </w:t>
      </w:r>
      <w:r>
        <w:rPr>
          <w:sz w:val="16"/>
        </w:rPr>
        <w:t>Elaboración propia - cifras</w:t>
      </w:r>
      <w:r w:rsidRPr="00315029">
        <w:rPr>
          <w:sz w:val="16"/>
        </w:rPr>
        <w:t xml:space="preserve"> </w:t>
      </w:r>
      <w:proofErr w:type="spellStart"/>
      <w:r w:rsidRPr="00315029">
        <w:rPr>
          <w:sz w:val="16"/>
        </w:rPr>
        <w:t>Isolución</w:t>
      </w:r>
      <w:proofErr w:type="spellEnd"/>
      <w:r w:rsidRPr="00315029">
        <w:rPr>
          <w:sz w:val="16"/>
        </w:rPr>
        <w:t xml:space="preserve"> corte 3</w:t>
      </w:r>
      <w:r w:rsidR="0078743E">
        <w:rPr>
          <w:sz w:val="16"/>
        </w:rPr>
        <w:t>1 de diciembre</w:t>
      </w:r>
    </w:p>
    <w:sectPr w:rsidR="00661CF4" w:rsidSect="000A4D59">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65" w:rsidRDefault="00615565" w:rsidP="00AA0DBE">
      <w:r>
        <w:separator/>
      </w:r>
    </w:p>
  </w:endnote>
  <w:endnote w:type="continuationSeparator" w:id="0">
    <w:p w:rsidR="00615565" w:rsidRDefault="00615565" w:rsidP="00A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AD" w:rsidRDefault="008474AD">
    <w:pPr>
      <w:pStyle w:val="Piedepgina"/>
    </w:pPr>
    <w:r>
      <w:rPr>
        <w:rFonts w:eastAsia="Arial"/>
        <w:noProof/>
        <w:sz w:val="18"/>
        <w:lang w:val="es-CO" w:eastAsia="es-CO"/>
      </w:rPr>
      <w:drawing>
        <wp:inline distT="0" distB="0" distL="0" distR="0" wp14:anchorId="60CDA71C" wp14:editId="4C90CED6">
          <wp:extent cx="5325466" cy="922655"/>
          <wp:effectExtent l="0" t="0" r="8890" b="0"/>
          <wp:docPr id="1045" name="Imagen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329545" cy="92336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65" w:rsidRDefault="00615565" w:rsidP="00AA0DBE">
      <w:r>
        <w:separator/>
      </w:r>
    </w:p>
  </w:footnote>
  <w:footnote w:type="continuationSeparator" w:id="0">
    <w:p w:rsidR="00615565" w:rsidRDefault="00615565" w:rsidP="00AA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AD" w:rsidRDefault="008474AD">
    <w:pPr>
      <w:pStyle w:val="Encabezado"/>
    </w:pPr>
    <w:sdt>
      <w:sdtPr>
        <w:id w:val="-134185459"/>
        <w:docPartObj>
          <w:docPartGallery w:val="Page Numbers (Margins)"/>
          <w:docPartUnique/>
        </w:docPartObj>
      </w:sdtPr>
      <w:sdtContent>
        <w:r>
          <w:rPr>
            <w:rFonts w:asciiTheme="majorHAnsi" w:eastAsiaTheme="majorEastAsia" w:hAnsiTheme="majorHAnsi" w:cstheme="majorBidi"/>
            <w:noProof/>
            <w:sz w:val="28"/>
            <w:szCs w:val="28"/>
            <w:lang w:val="es-CO" w:eastAsia="es-CO"/>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74AD" w:rsidRDefault="008474AD">
                              <w:pPr>
                                <w:rPr>
                                  <w:rStyle w:val="Nmerodepgina"/>
                                  <w:color w:val="FFFFFF" w:themeColor="background1"/>
                                </w:rPr>
                              </w:pPr>
                              <w:r>
                                <w:rPr>
                                  <w:sz w:val="22"/>
                                  <w:szCs w:val="22"/>
                                </w:rPr>
                                <w:fldChar w:fldCharType="begin"/>
                              </w:r>
                              <w:r>
                                <w:instrText>PAGE    \* MERGEFORMAT</w:instrText>
                              </w:r>
                              <w:r>
                                <w:rPr>
                                  <w:sz w:val="22"/>
                                  <w:szCs w:val="22"/>
                                </w:rPr>
                                <w:fldChar w:fldCharType="separate"/>
                              </w:r>
                              <w:r w:rsidR="0065099E" w:rsidRPr="0065099E">
                                <w:rPr>
                                  <w:rStyle w:val="Nmerodepgina"/>
                                  <w:b/>
                                  <w:bCs/>
                                  <w:noProof/>
                                  <w:color w:val="FFFFFF" w:themeColor="background1"/>
                                </w:rPr>
                                <w:t>7</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8"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D50XIRcwIAAPAEAAAOAAAAAAAAAAAAAAAA&#10;AC4CAABkcnMvZTJvRG9jLnhtbFBLAQItABQABgAIAAAAIQDssEif2AAAAAMBAAAPAAAAAAAAAAAA&#10;AAAAAM0EAABkcnMvZG93bnJldi54bWxQSwUGAAAAAAQABADzAAAA0gUAAAAA&#10;" o:allowincell="f" fillcolor="#9dbb61" stroked="f">
                  <v:textbox inset="0,,0">
                    <w:txbxContent>
                      <w:p w:rsidR="008474AD" w:rsidRDefault="008474AD">
                        <w:pPr>
                          <w:rPr>
                            <w:rStyle w:val="Nmerodepgina"/>
                            <w:color w:val="FFFFFF" w:themeColor="background1"/>
                          </w:rPr>
                        </w:pPr>
                        <w:r>
                          <w:rPr>
                            <w:sz w:val="22"/>
                            <w:szCs w:val="22"/>
                          </w:rPr>
                          <w:fldChar w:fldCharType="begin"/>
                        </w:r>
                        <w:r>
                          <w:instrText>PAGE    \* MERGEFORMAT</w:instrText>
                        </w:r>
                        <w:r>
                          <w:rPr>
                            <w:sz w:val="22"/>
                            <w:szCs w:val="22"/>
                          </w:rPr>
                          <w:fldChar w:fldCharType="separate"/>
                        </w:r>
                        <w:r w:rsidR="0065099E" w:rsidRPr="0065099E">
                          <w:rPr>
                            <w:rStyle w:val="Nmerodepgina"/>
                            <w:b/>
                            <w:bCs/>
                            <w:noProof/>
                            <w:color w:val="FFFFFF" w:themeColor="background1"/>
                          </w:rPr>
                          <w:t>7</w:t>
                        </w:r>
                        <w:r>
                          <w:rPr>
                            <w:rStyle w:val="Nmerodepgina"/>
                            <w:b/>
                            <w:bCs/>
                            <w:color w:val="FFFFFF" w:themeColor="background1"/>
                          </w:rPr>
                          <w:fldChar w:fldCharType="end"/>
                        </w:r>
                      </w:p>
                    </w:txbxContent>
                  </v:textbox>
                  <w10:wrap anchorx="margin" anchory="page"/>
                </v:oval>
              </w:pict>
            </mc:Fallback>
          </mc:AlternateContent>
        </w:r>
      </w:sdtContent>
    </w:sdt>
    <w:r>
      <w:rPr>
        <w:noProof/>
        <w:lang w:val="es-CO" w:eastAsia="es-CO"/>
      </w:rPr>
      <w:drawing>
        <wp:inline distT="0" distB="0" distL="0" distR="0" wp14:anchorId="6487D9C9" wp14:editId="4ABAD32E">
          <wp:extent cx="2477501" cy="1029116"/>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adr.png"/>
                  <pic:cNvPicPr/>
                </pic:nvPicPr>
                <pic:blipFill>
                  <a:blip r:embed="rId1">
                    <a:extLst>
                      <a:ext uri="{28A0092B-C50C-407E-A947-70E740481C1C}">
                        <a14:useLocalDpi xmlns:a14="http://schemas.microsoft.com/office/drawing/2010/main" val="0"/>
                      </a:ext>
                    </a:extLst>
                  </a:blip>
                  <a:stretch>
                    <a:fillRect/>
                  </a:stretch>
                </pic:blipFill>
                <pic:spPr>
                  <a:xfrm>
                    <a:off x="0" y="0"/>
                    <a:ext cx="2477501" cy="10291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377F1"/>
    <w:multiLevelType w:val="hybridMultilevel"/>
    <w:tmpl w:val="62E8F292"/>
    <w:lvl w:ilvl="0" w:tplc="04F6D0CC">
      <w:start w:val="1"/>
      <w:numFmt w:val="bullet"/>
      <w:lvlText w:val=""/>
      <w:lvlJc w:val="left"/>
      <w:pPr>
        <w:ind w:left="720" w:hanging="360"/>
      </w:pPr>
      <w:rPr>
        <w:rFonts w:ascii="Webdings" w:hAnsi="Web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7900A8"/>
    <w:multiLevelType w:val="hybridMultilevel"/>
    <w:tmpl w:val="92BCACFA"/>
    <w:lvl w:ilvl="0" w:tplc="04F6D0CC">
      <w:start w:val="1"/>
      <w:numFmt w:val="bullet"/>
      <w:lvlText w:val=""/>
      <w:lvlJc w:val="left"/>
      <w:pPr>
        <w:ind w:left="720" w:hanging="360"/>
      </w:pPr>
      <w:rPr>
        <w:rFonts w:ascii="Webdings" w:hAnsi="Web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29944D3"/>
    <w:multiLevelType w:val="multilevel"/>
    <w:tmpl w:val="43EABA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3321423"/>
    <w:multiLevelType w:val="hybridMultilevel"/>
    <w:tmpl w:val="69C8A1D2"/>
    <w:lvl w:ilvl="0" w:tplc="04F6D0CC">
      <w:start w:val="1"/>
      <w:numFmt w:val="bullet"/>
      <w:lvlText w:val=""/>
      <w:lvlJc w:val="left"/>
      <w:pPr>
        <w:ind w:left="720" w:hanging="360"/>
      </w:pPr>
      <w:rPr>
        <w:rFonts w:ascii="Webdings" w:hAnsi="Web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5C"/>
    <w:rsid w:val="0001504A"/>
    <w:rsid w:val="00040851"/>
    <w:rsid w:val="00045FF1"/>
    <w:rsid w:val="00056AAE"/>
    <w:rsid w:val="00064B95"/>
    <w:rsid w:val="00097DFE"/>
    <w:rsid w:val="000A4D59"/>
    <w:rsid w:val="000A573A"/>
    <w:rsid w:val="000C1712"/>
    <w:rsid w:val="000D7B81"/>
    <w:rsid w:val="000F4C60"/>
    <w:rsid w:val="000F618A"/>
    <w:rsid w:val="001106E3"/>
    <w:rsid w:val="001247B9"/>
    <w:rsid w:val="00145A2D"/>
    <w:rsid w:val="00152102"/>
    <w:rsid w:val="001565EA"/>
    <w:rsid w:val="00160B39"/>
    <w:rsid w:val="00161A8B"/>
    <w:rsid w:val="00174E71"/>
    <w:rsid w:val="001A0AE6"/>
    <w:rsid w:val="001C21CE"/>
    <w:rsid w:val="001D3934"/>
    <w:rsid w:val="001F55C7"/>
    <w:rsid w:val="0023030A"/>
    <w:rsid w:val="002370B4"/>
    <w:rsid w:val="002379F2"/>
    <w:rsid w:val="00247E59"/>
    <w:rsid w:val="00251032"/>
    <w:rsid w:val="00264D29"/>
    <w:rsid w:val="002715F2"/>
    <w:rsid w:val="0027190E"/>
    <w:rsid w:val="00273150"/>
    <w:rsid w:val="002801AB"/>
    <w:rsid w:val="00283D13"/>
    <w:rsid w:val="002867B8"/>
    <w:rsid w:val="002B39D3"/>
    <w:rsid w:val="002B752D"/>
    <w:rsid w:val="002C0474"/>
    <w:rsid w:val="002C4E4A"/>
    <w:rsid w:val="00315029"/>
    <w:rsid w:val="00325219"/>
    <w:rsid w:val="00331B9E"/>
    <w:rsid w:val="003330B8"/>
    <w:rsid w:val="00333DF7"/>
    <w:rsid w:val="003400B5"/>
    <w:rsid w:val="003829FE"/>
    <w:rsid w:val="003A122C"/>
    <w:rsid w:val="003B0616"/>
    <w:rsid w:val="003E0233"/>
    <w:rsid w:val="00412626"/>
    <w:rsid w:val="0046585E"/>
    <w:rsid w:val="00474CBB"/>
    <w:rsid w:val="00487E96"/>
    <w:rsid w:val="004C755D"/>
    <w:rsid w:val="004D3120"/>
    <w:rsid w:val="004F73A7"/>
    <w:rsid w:val="00507AAF"/>
    <w:rsid w:val="005112E3"/>
    <w:rsid w:val="00546509"/>
    <w:rsid w:val="0055065B"/>
    <w:rsid w:val="0057340C"/>
    <w:rsid w:val="005831A0"/>
    <w:rsid w:val="00591FD5"/>
    <w:rsid w:val="005B02A2"/>
    <w:rsid w:val="00615565"/>
    <w:rsid w:val="006164A7"/>
    <w:rsid w:val="0065099E"/>
    <w:rsid w:val="00661CF4"/>
    <w:rsid w:val="006728EB"/>
    <w:rsid w:val="006738AB"/>
    <w:rsid w:val="00694D58"/>
    <w:rsid w:val="006A7D54"/>
    <w:rsid w:val="006C5846"/>
    <w:rsid w:val="006D5439"/>
    <w:rsid w:val="006D7AF7"/>
    <w:rsid w:val="007138CD"/>
    <w:rsid w:val="00721068"/>
    <w:rsid w:val="00733992"/>
    <w:rsid w:val="007371FE"/>
    <w:rsid w:val="00742F25"/>
    <w:rsid w:val="007617C7"/>
    <w:rsid w:val="00785333"/>
    <w:rsid w:val="0078743E"/>
    <w:rsid w:val="007A7332"/>
    <w:rsid w:val="007D0631"/>
    <w:rsid w:val="007E1D04"/>
    <w:rsid w:val="007F1D86"/>
    <w:rsid w:val="007F7F7E"/>
    <w:rsid w:val="00836E9E"/>
    <w:rsid w:val="0084389E"/>
    <w:rsid w:val="008474AD"/>
    <w:rsid w:val="00860374"/>
    <w:rsid w:val="00874AC6"/>
    <w:rsid w:val="008B50F9"/>
    <w:rsid w:val="008C0EBB"/>
    <w:rsid w:val="008D1C0D"/>
    <w:rsid w:val="008D5FAE"/>
    <w:rsid w:val="008D675C"/>
    <w:rsid w:val="008F04F6"/>
    <w:rsid w:val="0097713D"/>
    <w:rsid w:val="00985D80"/>
    <w:rsid w:val="009C575D"/>
    <w:rsid w:val="00A62769"/>
    <w:rsid w:val="00A73B7E"/>
    <w:rsid w:val="00AA0DBE"/>
    <w:rsid w:val="00AA435F"/>
    <w:rsid w:val="00AB59DD"/>
    <w:rsid w:val="00AC70F9"/>
    <w:rsid w:val="00B106F8"/>
    <w:rsid w:val="00B81C09"/>
    <w:rsid w:val="00B90824"/>
    <w:rsid w:val="00BB2B07"/>
    <w:rsid w:val="00BB6FFE"/>
    <w:rsid w:val="00C00CD4"/>
    <w:rsid w:val="00C25B12"/>
    <w:rsid w:val="00C332B7"/>
    <w:rsid w:val="00C55A09"/>
    <w:rsid w:val="00C668B8"/>
    <w:rsid w:val="00C74C5C"/>
    <w:rsid w:val="00C77C26"/>
    <w:rsid w:val="00C818F0"/>
    <w:rsid w:val="00C963FF"/>
    <w:rsid w:val="00CC55D3"/>
    <w:rsid w:val="00CD36F7"/>
    <w:rsid w:val="00D14885"/>
    <w:rsid w:val="00D16406"/>
    <w:rsid w:val="00D35E04"/>
    <w:rsid w:val="00D64F51"/>
    <w:rsid w:val="00D67E52"/>
    <w:rsid w:val="00D96A16"/>
    <w:rsid w:val="00DA3EBF"/>
    <w:rsid w:val="00DA52E6"/>
    <w:rsid w:val="00DC4FFD"/>
    <w:rsid w:val="00DD59C9"/>
    <w:rsid w:val="00DE5A5B"/>
    <w:rsid w:val="00E15080"/>
    <w:rsid w:val="00E31F11"/>
    <w:rsid w:val="00E570D6"/>
    <w:rsid w:val="00E72CBA"/>
    <w:rsid w:val="00EA4EE4"/>
    <w:rsid w:val="00EB346A"/>
    <w:rsid w:val="00ED2EC1"/>
    <w:rsid w:val="00EF02A8"/>
    <w:rsid w:val="00EF5CEB"/>
    <w:rsid w:val="00F1090D"/>
    <w:rsid w:val="00F17E35"/>
    <w:rsid w:val="00F765CB"/>
    <w:rsid w:val="00F819BC"/>
    <w:rsid w:val="00F852FF"/>
    <w:rsid w:val="00F92CB1"/>
    <w:rsid w:val="00FB0ED9"/>
    <w:rsid w:val="00FD2D4E"/>
    <w:rsid w:val="00FF0A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5C"/>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
    <w:qFormat/>
    <w:rsid w:val="00AA0DBE"/>
    <w:pPr>
      <w:keepNext/>
      <w:keepLines/>
      <w:spacing w:before="240"/>
      <w:jc w:val="both"/>
      <w:outlineLvl w:val="0"/>
    </w:pPr>
    <w:rPr>
      <w:rFonts w:eastAsiaTheme="majorEastAsia" w:cstheme="majorBidi"/>
      <w:b/>
      <w:color w:val="2E74B5" w:themeColor="accent1" w:themeShade="BF"/>
      <w:sz w:val="32"/>
      <w:szCs w:val="32"/>
      <w:lang w:val="es-CO" w:eastAsia="en-US"/>
    </w:rPr>
  </w:style>
  <w:style w:type="paragraph" w:styleId="Ttulo2">
    <w:name w:val="heading 2"/>
    <w:basedOn w:val="Normal"/>
    <w:next w:val="Normal"/>
    <w:link w:val="Ttulo2Car"/>
    <w:uiPriority w:val="9"/>
    <w:unhideWhenUsed/>
    <w:qFormat/>
    <w:rsid w:val="00C74C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C5C"/>
    <w:rPr>
      <w:rFonts w:asciiTheme="majorHAnsi" w:eastAsiaTheme="majorEastAsia" w:hAnsiTheme="majorHAnsi" w:cstheme="majorBidi"/>
      <w:b/>
      <w:bCs/>
      <w:color w:val="5B9BD5" w:themeColor="accent1"/>
      <w:sz w:val="26"/>
      <w:szCs w:val="26"/>
      <w:lang w:val="es-ES" w:eastAsia="es-ES"/>
    </w:rPr>
  </w:style>
  <w:style w:type="character" w:styleId="Hipervnculo">
    <w:name w:val="Hyperlink"/>
    <w:basedOn w:val="Fuentedeprrafopredeter"/>
    <w:uiPriority w:val="99"/>
    <w:unhideWhenUsed/>
    <w:rsid w:val="00C74C5C"/>
    <w:rPr>
      <w:color w:val="0563C1" w:themeColor="hyperlink"/>
      <w:u w:val="single"/>
    </w:rPr>
  </w:style>
  <w:style w:type="paragraph" w:styleId="Prrafodelista">
    <w:name w:val="List Paragraph"/>
    <w:aliases w:val="Bullets,Dot pt,No Spacing1,List Paragraph Char Char Char,Indicator Text,List Paragraph1,Numbered Para 1,Colorful List - Accent 11,Bullet 1,F5 List Paragraph,Bullet Points,titulo 3,List Paragraph 1,Ha,HOJA,Bolita,Párrafo de lista4,NORMAL"/>
    <w:basedOn w:val="Normal"/>
    <w:link w:val="PrrafodelistaCar"/>
    <w:uiPriority w:val="34"/>
    <w:qFormat/>
    <w:rsid w:val="00C74C5C"/>
    <w:pPr>
      <w:ind w:left="720"/>
      <w:contextualSpacing/>
    </w:pPr>
  </w:style>
  <w:style w:type="character" w:customStyle="1" w:styleId="PrrafodelistaCar">
    <w:name w:val="Párrafo de lista Car"/>
    <w:aliases w:val="Bullets Car,Dot pt Car,No Spacing1 Car,List Paragraph Char Char Char Car,Indicator Text Car,List Paragraph1 Car,Numbered Para 1 Car,Colorful List - Accent 11 Car,Bullet 1 Car,F5 List Paragraph Car,Bullet Points Car,titulo 3 Car"/>
    <w:link w:val="Prrafodelista"/>
    <w:uiPriority w:val="34"/>
    <w:qFormat/>
    <w:locked/>
    <w:rsid w:val="00C74C5C"/>
    <w:rPr>
      <w:rFonts w:ascii="Arial" w:eastAsia="Times New Roman" w:hAnsi="Arial" w:cs="Arial"/>
      <w:sz w:val="24"/>
      <w:szCs w:val="24"/>
      <w:lang w:val="es-ES" w:eastAsia="es-ES"/>
    </w:rPr>
  </w:style>
  <w:style w:type="paragraph" w:styleId="Epgrafe">
    <w:name w:val="caption"/>
    <w:basedOn w:val="Normal"/>
    <w:next w:val="Normal"/>
    <w:uiPriority w:val="35"/>
    <w:unhideWhenUsed/>
    <w:qFormat/>
    <w:rsid w:val="00C74C5C"/>
    <w:pPr>
      <w:jc w:val="center"/>
    </w:pPr>
    <w:rPr>
      <w:rFonts w:eastAsiaTheme="minorHAnsi" w:cstheme="minorBidi"/>
      <w:b/>
      <w:iCs/>
      <w:sz w:val="22"/>
      <w:szCs w:val="18"/>
      <w:lang w:val="es-CO" w:eastAsia="en-US"/>
    </w:rPr>
  </w:style>
  <w:style w:type="paragraph" w:styleId="Encabezado">
    <w:name w:val="header"/>
    <w:basedOn w:val="Normal"/>
    <w:link w:val="EncabezadoCar"/>
    <w:uiPriority w:val="99"/>
    <w:unhideWhenUsed/>
    <w:rsid w:val="00AA0DBE"/>
    <w:pPr>
      <w:tabs>
        <w:tab w:val="center" w:pos="4419"/>
        <w:tab w:val="right" w:pos="8838"/>
      </w:tabs>
    </w:pPr>
  </w:style>
  <w:style w:type="character" w:customStyle="1" w:styleId="EncabezadoCar">
    <w:name w:val="Encabezado Car"/>
    <w:basedOn w:val="Fuentedeprrafopredeter"/>
    <w:link w:val="Encabezado"/>
    <w:uiPriority w:val="99"/>
    <w:rsid w:val="00AA0DBE"/>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AA0DBE"/>
    <w:pPr>
      <w:tabs>
        <w:tab w:val="center" w:pos="4419"/>
        <w:tab w:val="right" w:pos="8838"/>
      </w:tabs>
    </w:pPr>
  </w:style>
  <w:style w:type="character" w:customStyle="1" w:styleId="PiedepginaCar">
    <w:name w:val="Pie de página Car"/>
    <w:basedOn w:val="Fuentedeprrafopredeter"/>
    <w:link w:val="Piedepgina"/>
    <w:uiPriority w:val="99"/>
    <w:rsid w:val="00AA0DBE"/>
    <w:rPr>
      <w:rFonts w:ascii="Arial" w:eastAsia="Times New Roman" w:hAnsi="Arial" w:cs="Arial"/>
      <w:sz w:val="24"/>
      <w:szCs w:val="24"/>
      <w:lang w:val="es-ES" w:eastAsia="es-ES"/>
    </w:rPr>
  </w:style>
  <w:style w:type="character" w:styleId="Nmerodepgina">
    <w:name w:val="page number"/>
    <w:basedOn w:val="Fuentedeprrafopredeter"/>
    <w:uiPriority w:val="99"/>
    <w:unhideWhenUsed/>
    <w:rsid w:val="00AA0DBE"/>
  </w:style>
  <w:style w:type="character" w:customStyle="1" w:styleId="Ttulo1Car">
    <w:name w:val="Título 1 Car"/>
    <w:basedOn w:val="Fuentedeprrafopredeter"/>
    <w:link w:val="Ttulo1"/>
    <w:uiPriority w:val="9"/>
    <w:rsid w:val="00AA0DBE"/>
    <w:rPr>
      <w:rFonts w:ascii="Arial" w:eastAsiaTheme="majorEastAsia" w:hAnsi="Arial" w:cstheme="majorBidi"/>
      <w:b/>
      <w:color w:val="2E74B5" w:themeColor="accent1" w:themeShade="BF"/>
      <w:sz w:val="32"/>
      <w:szCs w:val="32"/>
    </w:rPr>
  </w:style>
  <w:style w:type="paragraph" w:styleId="Sinespaciado">
    <w:name w:val="No Spacing"/>
    <w:link w:val="SinespaciadoCar"/>
    <w:uiPriority w:val="1"/>
    <w:qFormat/>
    <w:rsid w:val="000A4D5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0A4D59"/>
    <w:rPr>
      <w:rFonts w:eastAsiaTheme="minorEastAsia"/>
      <w:lang w:eastAsia="es-CO"/>
    </w:rPr>
  </w:style>
  <w:style w:type="paragraph" w:styleId="Textodeglobo">
    <w:name w:val="Balloon Text"/>
    <w:basedOn w:val="Normal"/>
    <w:link w:val="TextodegloboCar"/>
    <w:uiPriority w:val="99"/>
    <w:semiHidden/>
    <w:unhideWhenUsed/>
    <w:rsid w:val="00874A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AC6"/>
    <w:rPr>
      <w:rFonts w:ascii="Segoe UI" w:eastAsia="Times New Roman" w:hAnsi="Segoe UI" w:cs="Segoe UI"/>
      <w:sz w:val="18"/>
      <w:szCs w:val="18"/>
      <w:lang w:val="es-ES" w:eastAsia="es-ES"/>
    </w:rPr>
  </w:style>
  <w:style w:type="paragraph" w:styleId="NormalWeb">
    <w:name w:val="Normal (Web)"/>
    <w:basedOn w:val="Normal"/>
    <w:uiPriority w:val="99"/>
    <w:unhideWhenUsed/>
    <w:rsid w:val="008C0EBB"/>
    <w:pPr>
      <w:spacing w:before="100" w:beforeAutospacing="1" w:after="100" w:afterAutospacing="1"/>
    </w:pPr>
    <w:rPr>
      <w:rFonts w:ascii="Times New Roman" w:hAnsi="Times New Roman" w:cs="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5C"/>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
    <w:qFormat/>
    <w:rsid w:val="00AA0DBE"/>
    <w:pPr>
      <w:keepNext/>
      <w:keepLines/>
      <w:spacing w:before="240"/>
      <w:jc w:val="both"/>
      <w:outlineLvl w:val="0"/>
    </w:pPr>
    <w:rPr>
      <w:rFonts w:eastAsiaTheme="majorEastAsia" w:cstheme="majorBidi"/>
      <w:b/>
      <w:color w:val="2E74B5" w:themeColor="accent1" w:themeShade="BF"/>
      <w:sz w:val="32"/>
      <w:szCs w:val="32"/>
      <w:lang w:val="es-CO" w:eastAsia="en-US"/>
    </w:rPr>
  </w:style>
  <w:style w:type="paragraph" w:styleId="Ttulo2">
    <w:name w:val="heading 2"/>
    <w:basedOn w:val="Normal"/>
    <w:next w:val="Normal"/>
    <w:link w:val="Ttulo2Car"/>
    <w:uiPriority w:val="9"/>
    <w:unhideWhenUsed/>
    <w:qFormat/>
    <w:rsid w:val="00C74C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C5C"/>
    <w:rPr>
      <w:rFonts w:asciiTheme="majorHAnsi" w:eastAsiaTheme="majorEastAsia" w:hAnsiTheme="majorHAnsi" w:cstheme="majorBidi"/>
      <w:b/>
      <w:bCs/>
      <w:color w:val="5B9BD5" w:themeColor="accent1"/>
      <w:sz w:val="26"/>
      <w:szCs w:val="26"/>
      <w:lang w:val="es-ES" w:eastAsia="es-ES"/>
    </w:rPr>
  </w:style>
  <w:style w:type="character" w:styleId="Hipervnculo">
    <w:name w:val="Hyperlink"/>
    <w:basedOn w:val="Fuentedeprrafopredeter"/>
    <w:uiPriority w:val="99"/>
    <w:unhideWhenUsed/>
    <w:rsid w:val="00C74C5C"/>
    <w:rPr>
      <w:color w:val="0563C1" w:themeColor="hyperlink"/>
      <w:u w:val="single"/>
    </w:rPr>
  </w:style>
  <w:style w:type="paragraph" w:styleId="Prrafodelista">
    <w:name w:val="List Paragraph"/>
    <w:aliases w:val="Bullets,Dot pt,No Spacing1,List Paragraph Char Char Char,Indicator Text,List Paragraph1,Numbered Para 1,Colorful List - Accent 11,Bullet 1,F5 List Paragraph,Bullet Points,titulo 3,List Paragraph 1,Ha,HOJA,Bolita,Párrafo de lista4,NORMAL"/>
    <w:basedOn w:val="Normal"/>
    <w:link w:val="PrrafodelistaCar"/>
    <w:uiPriority w:val="34"/>
    <w:qFormat/>
    <w:rsid w:val="00C74C5C"/>
    <w:pPr>
      <w:ind w:left="720"/>
      <w:contextualSpacing/>
    </w:pPr>
  </w:style>
  <w:style w:type="character" w:customStyle="1" w:styleId="PrrafodelistaCar">
    <w:name w:val="Párrafo de lista Car"/>
    <w:aliases w:val="Bullets Car,Dot pt Car,No Spacing1 Car,List Paragraph Char Char Char Car,Indicator Text Car,List Paragraph1 Car,Numbered Para 1 Car,Colorful List - Accent 11 Car,Bullet 1 Car,F5 List Paragraph Car,Bullet Points Car,titulo 3 Car"/>
    <w:link w:val="Prrafodelista"/>
    <w:uiPriority w:val="34"/>
    <w:qFormat/>
    <w:locked/>
    <w:rsid w:val="00C74C5C"/>
    <w:rPr>
      <w:rFonts w:ascii="Arial" w:eastAsia="Times New Roman" w:hAnsi="Arial" w:cs="Arial"/>
      <w:sz w:val="24"/>
      <w:szCs w:val="24"/>
      <w:lang w:val="es-ES" w:eastAsia="es-ES"/>
    </w:rPr>
  </w:style>
  <w:style w:type="paragraph" w:styleId="Epgrafe">
    <w:name w:val="caption"/>
    <w:basedOn w:val="Normal"/>
    <w:next w:val="Normal"/>
    <w:uiPriority w:val="35"/>
    <w:unhideWhenUsed/>
    <w:qFormat/>
    <w:rsid w:val="00C74C5C"/>
    <w:pPr>
      <w:jc w:val="center"/>
    </w:pPr>
    <w:rPr>
      <w:rFonts w:eastAsiaTheme="minorHAnsi" w:cstheme="minorBidi"/>
      <w:b/>
      <w:iCs/>
      <w:sz w:val="22"/>
      <w:szCs w:val="18"/>
      <w:lang w:val="es-CO" w:eastAsia="en-US"/>
    </w:rPr>
  </w:style>
  <w:style w:type="paragraph" w:styleId="Encabezado">
    <w:name w:val="header"/>
    <w:basedOn w:val="Normal"/>
    <w:link w:val="EncabezadoCar"/>
    <w:uiPriority w:val="99"/>
    <w:unhideWhenUsed/>
    <w:rsid w:val="00AA0DBE"/>
    <w:pPr>
      <w:tabs>
        <w:tab w:val="center" w:pos="4419"/>
        <w:tab w:val="right" w:pos="8838"/>
      </w:tabs>
    </w:pPr>
  </w:style>
  <w:style w:type="character" w:customStyle="1" w:styleId="EncabezadoCar">
    <w:name w:val="Encabezado Car"/>
    <w:basedOn w:val="Fuentedeprrafopredeter"/>
    <w:link w:val="Encabezado"/>
    <w:uiPriority w:val="99"/>
    <w:rsid w:val="00AA0DBE"/>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AA0DBE"/>
    <w:pPr>
      <w:tabs>
        <w:tab w:val="center" w:pos="4419"/>
        <w:tab w:val="right" w:pos="8838"/>
      </w:tabs>
    </w:pPr>
  </w:style>
  <w:style w:type="character" w:customStyle="1" w:styleId="PiedepginaCar">
    <w:name w:val="Pie de página Car"/>
    <w:basedOn w:val="Fuentedeprrafopredeter"/>
    <w:link w:val="Piedepgina"/>
    <w:uiPriority w:val="99"/>
    <w:rsid w:val="00AA0DBE"/>
    <w:rPr>
      <w:rFonts w:ascii="Arial" w:eastAsia="Times New Roman" w:hAnsi="Arial" w:cs="Arial"/>
      <w:sz w:val="24"/>
      <w:szCs w:val="24"/>
      <w:lang w:val="es-ES" w:eastAsia="es-ES"/>
    </w:rPr>
  </w:style>
  <w:style w:type="character" w:styleId="Nmerodepgina">
    <w:name w:val="page number"/>
    <w:basedOn w:val="Fuentedeprrafopredeter"/>
    <w:uiPriority w:val="99"/>
    <w:unhideWhenUsed/>
    <w:rsid w:val="00AA0DBE"/>
  </w:style>
  <w:style w:type="character" w:customStyle="1" w:styleId="Ttulo1Car">
    <w:name w:val="Título 1 Car"/>
    <w:basedOn w:val="Fuentedeprrafopredeter"/>
    <w:link w:val="Ttulo1"/>
    <w:uiPriority w:val="9"/>
    <w:rsid w:val="00AA0DBE"/>
    <w:rPr>
      <w:rFonts w:ascii="Arial" w:eastAsiaTheme="majorEastAsia" w:hAnsi="Arial" w:cstheme="majorBidi"/>
      <w:b/>
      <w:color w:val="2E74B5" w:themeColor="accent1" w:themeShade="BF"/>
      <w:sz w:val="32"/>
      <w:szCs w:val="32"/>
    </w:rPr>
  </w:style>
  <w:style w:type="paragraph" w:styleId="Sinespaciado">
    <w:name w:val="No Spacing"/>
    <w:link w:val="SinespaciadoCar"/>
    <w:uiPriority w:val="1"/>
    <w:qFormat/>
    <w:rsid w:val="000A4D5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0A4D59"/>
    <w:rPr>
      <w:rFonts w:eastAsiaTheme="minorEastAsia"/>
      <w:lang w:eastAsia="es-CO"/>
    </w:rPr>
  </w:style>
  <w:style w:type="paragraph" w:styleId="Textodeglobo">
    <w:name w:val="Balloon Text"/>
    <w:basedOn w:val="Normal"/>
    <w:link w:val="TextodegloboCar"/>
    <w:uiPriority w:val="99"/>
    <w:semiHidden/>
    <w:unhideWhenUsed/>
    <w:rsid w:val="00874A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AC6"/>
    <w:rPr>
      <w:rFonts w:ascii="Segoe UI" w:eastAsia="Times New Roman" w:hAnsi="Segoe UI" w:cs="Segoe UI"/>
      <w:sz w:val="18"/>
      <w:szCs w:val="18"/>
      <w:lang w:val="es-ES" w:eastAsia="es-ES"/>
    </w:rPr>
  </w:style>
  <w:style w:type="paragraph" w:styleId="NormalWeb">
    <w:name w:val="Normal (Web)"/>
    <w:basedOn w:val="Normal"/>
    <w:uiPriority w:val="99"/>
    <w:unhideWhenUsed/>
    <w:rsid w:val="008C0EBB"/>
    <w:pPr>
      <w:spacing w:before="100" w:beforeAutospacing="1" w:after="100" w:afterAutospacing="1"/>
    </w:pPr>
    <w:rPr>
      <w:rFonts w:ascii="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8">
      <w:bodyDiv w:val="1"/>
      <w:marLeft w:val="0"/>
      <w:marRight w:val="0"/>
      <w:marTop w:val="0"/>
      <w:marBottom w:val="0"/>
      <w:divBdr>
        <w:top w:val="none" w:sz="0" w:space="0" w:color="auto"/>
        <w:left w:val="none" w:sz="0" w:space="0" w:color="auto"/>
        <w:bottom w:val="none" w:sz="0" w:space="0" w:color="auto"/>
        <w:right w:val="none" w:sz="0" w:space="0" w:color="auto"/>
      </w:divBdr>
    </w:div>
    <w:div w:id="96951196">
      <w:bodyDiv w:val="1"/>
      <w:marLeft w:val="0"/>
      <w:marRight w:val="0"/>
      <w:marTop w:val="0"/>
      <w:marBottom w:val="0"/>
      <w:divBdr>
        <w:top w:val="none" w:sz="0" w:space="0" w:color="auto"/>
        <w:left w:val="none" w:sz="0" w:space="0" w:color="auto"/>
        <w:bottom w:val="none" w:sz="0" w:space="0" w:color="auto"/>
        <w:right w:val="none" w:sz="0" w:space="0" w:color="auto"/>
      </w:divBdr>
    </w:div>
    <w:div w:id="155532426">
      <w:bodyDiv w:val="1"/>
      <w:marLeft w:val="0"/>
      <w:marRight w:val="0"/>
      <w:marTop w:val="0"/>
      <w:marBottom w:val="0"/>
      <w:divBdr>
        <w:top w:val="none" w:sz="0" w:space="0" w:color="auto"/>
        <w:left w:val="none" w:sz="0" w:space="0" w:color="auto"/>
        <w:bottom w:val="none" w:sz="0" w:space="0" w:color="auto"/>
        <w:right w:val="none" w:sz="0" w:space="0" w:color="auto"/>
      </w:divBdr>
    </w:div>
    <w:div w:id="158815351">
      <w:bodyDiv w:val="1"/>
      <w:marLeft w:val="0"/>
      <w:marRight w:val="0"/>
      <w:marTop w:val="0"/>
      <w:marBottom w:val="0"/>
      <w:divBdr>
        <w:top w:val="none" w:sz="0" w:space="0" w:color="auto"/>
        <w:left w:val="none" w:sz="0" w:space="0" w:color="auto"/>
        <w:bottom w:val="none" w:sz="0" w:space="0" w:color="auto"/>
        <w:right w:val="none" w:sz="0" w:space="0" w:color="auto"/>
      </w:divBdr>
    </w:div>
    <w:div w:id="234511333">
      <w:bodyDiv w:val="1"/>
      <w:marLeft w:val="0"/>
      <w:marRight w:val="0"/>
      <w:marTop w:val="0"/>
      <w:marBottom w:val="0"/>
      <w:divBdr>
        <w:top w:val="none" w:sz="0" w:space="0" w:color="auto"/>
        <w:left w:val="none" w:sz="0" w:space="0" w:color="auto"/>
        <w:bottom w:val="none" w:sz="0" w:space="0" w:color="auto"/>
        <w:right w:val="none" w:sz="0" w:space="0" w:color="auto"/>
      </w:divBdr>
    </w:div>
    <w:div w:id="425349870">
      <w:bodyDiv w:val="1"/>
      <w:marLeft w:val="0"/>
      <w:marRight w:val="0"/>
      <w:marTop w:val="0"/>
      <w:marBottom w:val="0"/>
      <w:divBdr>
        <w:top w:val="none" w:sz="0" w:space="0" w:color="auto"/>
        <w:left w:val="none" w:sz="0" w:space="0" w:color="auto"/>
        <w:bottom w:val="none" w:sz="0" w:space="0" w:color="auto"/>
        <w:right w:val="none" w:sz="0" w:space="0" w:color="auto"/>
      </w:divBdr>
    </w:div>
    <w:div w:id="475608944">
      <w:bodyDiv w:val="1"/>
      <w:marLeft w:val="0"/>
      <w:marRight w:val="0"/>
      <w:marTop w:val="0"/>
      <w:marBottom w:val="0"/>
      <w:divBdr>
        <w:top w:val="none" w:sz="0" w:space="0" w:color="auto"/>
        <w:left w:val="none" w:sz="0" w:space="0" w:color="auto"/>
        <w:bottom w:val="none" w:sz="0" w:space="0" w:color="auto"/>
        <w:right w:val="none" w:sz="0" w:space="0" w:color="auto"/>
      </w:divBdr>
    </w:div>
    <w:div w:id="489445287">
      <w:bodyDiv w:val="1"/>
      <w:marLeft w:val="0"/>
      <w:marRight w:val="0"/>
      <w:marTop w:val="0"/>
      <w:marBottom w:val="0"/>
      <w:divBdr>
        <w:top w:val="none" w:sz="0" w:space="0" w:color="auto"/>
        <w:left w:val="none" w:sz="0" w:space="0" w:color="auto"/>
        <w:bottom w:val="none" w:sz="0" w:space="0" w:color="auto"/>
        <w:right w:val="none" w:sz="0" w:space="0" w:color="auto"/>
      </w:divBdr>
    </w:div>
    <w:div w:id="509375299">
      <w:bodyDiv w:val="1"/>
      <w:marLeft w:val="0"/>
      <w:marRight w:val="0"/>
      <w:marTop w:val="0"/>
      <w:marBottom w:val="0"/>
      <w:divBdr>
        <w:top w:val="none" w:sz="0" w:space="0" w:color="auto"/>
        <w:left w:val="none" w:sz="0" w:space="0" w:color="auto"/>
        <w:bottom w:val="none" w:sz="0" w:space="0" w:color="auto"/>
        <w:right w:val="none" w:sz="0" w:space="0" w:color="auto"/>
      </w:divBdr>
    </w:div>
    <w:div w:id="521676251">
      <w:bodyDiv w:val="1"/>
      <w:marLeft w:val="0"/>
      <w:marRight w:val="0"/>
      <w:marTop w:val="0"/>
      <w:marBottom w:val="0"/>
      <w:divBdr>
        <w:top w:val="none" w:sz="0" w:space="0" w:color="auto"/>
        <w:left w:val="none" w:sz="0" w:space="0" w:color="auto"/>
        <w:bottom w:val="none" w:sz="0" w:space="0" w:color="auto"/>
        <w:right w:val="none" w:sz="0" w:space="0" w:color="auto"/>
      </w:divBdr>
    </w:div>
    <w:div w:id="616913552">
      <w:bodyDiv w:val="1"/>
      <w:marLeft w:val="0"/>
      <w:marRight w:val="0"/>
      <w:marTop w:val="0"/>
      <w:marBottom w:val="0"/>
      <w:divBdr>
        <w:top w:val="none" w:sz="0" w:space="0" w:color="auto"/>
        <w:left w:val="none" w:sz="0" w:space="0" w:color="auto"/>
        <w:bottom w:val="none" w:sz="0" w:space="0" w:color="auto"/>
        <w:right w:val="none" w:sz="0" w:space="0" w:color="auto"/>
      </w:divBdr>
    </w:div>
    <w:div w:id="624313003">
      <w:bodyDiv w:val="1"/>
      <w:marLeft w:val="0"/>
      <w:marRight w:val="0"/>
      <w:marTop w:val="0"/>
      <w:marBottom w:val="0"/>
      <w:divBdr>
        <w:top w:val="none" w:sz="0" w:space="0" w:color="auto"/>
        <w:left w:val="none" w:sz="0" w:space="0" w:color="auto"/>
        <w:bottom w:val="none" w:sz="0" w:space="0" w:color="auto"/>
        <w:right w:val="none" w:sz="0" w:space="0" w:color="auto"/>
      </w:divBdr>
    </w:div>
    <w:div w:id="642735197">
      <w:bodyDiv w:val="1"/>
      <w:marLeft w:val="0"/>
      <w:marRight w:val="0"/>
      <w:marTop w:val="0"/>
      <w:marBottom w:val="0"/>
      <w:divBdr>
        <w:top w:val="none" w:sz="0" w:space="0" w:color="auto"/>
        <w:left w:val="none" w:sz="0" w:space="0" w:color="auto"/>
        <w:bottom w:val="none" w:sz="0" w:space="0" w:color="auto"/>
        <w:right w:val="none" w:sz="0" w:space="0" w:color="auto"/>
      </w:divBdr>
    </w:div>
    <w:div w:id="666978903">
      <w:bodyDiv w:val="1"/>
      <w:marLeft w:val="0"/>
      <w:marRight w:val="0"/>
      <w:marTop w:val="0"/>
      <w:marBottom w:val="0"/>
      <w:divBdr>
        <w:top w:val="none" w:sz="0" w:space="0" w:color="auto"/>
        <w:left w:val="none" w:sz="0" w:space="0" w:color="auto"/>
        <w:bottom w:val="none" w:sz="0" w:space="0" w:color="auto"/>
        <w:right w:val="none" w:sz="0" w:space="0" w:color="auto"/>
      </w:divBdr>
    </w:div>
    <w:div w:id="771242839">
      <w:bodyDiv w:val="1"/>
      <w:marLeft w:val="0"/>
      <w:marRight w:val="0"/>
      <w:marTop w:val="0"/>
      <w:marBottom w:val="0"/>
      <w:divBdr>
        <w:top w:val="none" w:sz="0" w:space="0" w:color="auto"/>
        <w:left w:val="none" w:sz="0" w:space="0" w:color="auto"/>
        <w:bottom w:val="none" w:sz="0" w:space="0" w:color="auto"/>
        <w:right w:val="none" w:sz="0" w:space="0" w:color="auto"/>
      </w:divBdr>
    </w:div>
    <w:div w:id="965698120">
      <w:bodyDiv w:val="1"/>
      <w:marLeft w:val="0"/>
      <w:marRight w:val="0"/>
      <w:marTop w:val="0"/>
      <w:marBottom w:val="0"/>
      <w:divBdr>
        <w:top w:val="none" w:sz="0" w:space="0" w:color="auto"/>
        <w:left w:val="none" w:sz="0" w:space="0" w:color="auto"/>
        <w:bottom w:val="none" w:sz="0" w:space="0" w:color="auto"/>
        <w:right w:val="none" w:sz="0" w:space="0" w:color="auto"/>
      </w:divBdr>
    </w:div>
    <w:div w:id="1005674334">
      <w:bodyDiv w:val="1"/>
      <w:marLeft w:val="0"/>
      <w:marRight w:val="0"/>
      <w:marTop w:val="0"/>
      <w:marBottom w:val="0"/>
      <w:divBdr>
        <w:top w:val="none" w:sz="0" w:space="0" w:color="auto"/>
        <w:left w:val="none" w:sz="0" w:space="0" w:color="auto"/>
        <w:bottom w:val="none" w:sz="0" w:space="0" w:color="auto"/>
        <w:right w:val="none" w:sz="0" w:space="0" w:color="auto"/>
      </w:divBdr>
    </w:div>
    <w:div w:id="1092121742">
      <w:bodyDiv w:val="1"/>
      <w:marLeft w:val="0"/>
      <w:marRight w:val="0"/>
      <w:marTop w:val="0"/>
      <w:marBottom w:val="0"/>
      <w:divBdr>
        <w:top w:val="none" w:sz="0" w:space="0" w:color="auto"/>
        <w:left w:val="none" w:sz="0" w:space="0" w:color="auto"/>
        <w:bottom w:val="none" w:sz="0" w:space="0" w:color="auto"/>
        <w:right w:val="none" w:sz="0" w:space="0" w:color="auto"/>
      </w:divBdr>
    </w:div>
    <w:div w:id="1115782797">
      <w:bodyDiv w:val="1"/>
      <w:marLeft w:val="0"/>
      <w:marRight w:val="0"/>
      <w:marTop w:val="0"/>
      <w:marBottom w:val="0"/>
      <w:divBdr>
        <w:top w:val="none" w:sz="0" w:space="0" w:color="auto"/>
        <w:left w:val="none" w:sz="0" w:space="0" w:color="auto"/>
        <w:bottom w:val="none" w:sz="0" w:space="0" w:color="auto"/>
        <w:right w:val="none" w:sz="0" w:space="0" w:color="auto"/>
      </w:divBdr>
    </w:div>
    <w:div w:id="1137455212">
      <w:bodyDiv w:val="1"/>
      <w:marLeft w:val="0"/>
      <w:marRight w:val="0"/>
      <w:marTop w:val="0"/>
      <w:marBottom w:val="0"/>
      <w:divBdr>
        <w:top w:val="none" w:sz="0" w:space="0" w:color="auto"/>
        <w:left w:val="none" w:sz="0" w:space="0" w:color="auto"/>
        <w:bottom w:val="none" w:sz="0" w:space="0" w:color="auto"/>
        <w:right w:val="none" w:sz="0" w:space="0" w:color="auto"/>
      </w:divBdr>
    </w:div>
    <w:div w:id="1184516886">
      <w:bodyDiv w:val="1"/>
      <w:marLeft w:val="0"/>
      <w:marRight w:val="0"/>
      <w:marTop w:val="0"/>
      <w:marBottom w:val="0"/>
      <w:divBdr>
        <w:top w:val="none" w:sz="0" w:space="0" w:color="auto"/>
        <w:left w:val="none" w:sz="0" w:space="0" w:color="auto"/>
        <w:bottom w:val="none" w:sz="0" w:space="0" w:color="auto"/>
        <w:right w:val="none" w:sz="0" w:space="0" w:color="auto"/>
      </w:divBdr>
    </w:div>
    <w:div w:id="1210724845">
      <w:bodyDiv w:val="1"/>
      <w:marLeft w:val="0"/>
      <w:marRight w:val="0"/>
      <w:marTop w:val="0"/>
      <w:marBottom w:val="0"/>
      <w:divBdr>
        <w:top w:val="none" w:sz="0" w:space="0" w:color="auto"/>
        <w:left w:val="none" w:sz="0" w:space="0" w:color="auto"/>
        <w:bottom w:val="none" w:sz="0" w:space="0" w:color="auto"/>
        <w:right w:val="none" w:sz="0" w:space="0" w:color="auto"/>
      </w:divBdr>
    </w:div>
    <w:div w:id="1223953888">
      <w:bodyDiv w:val="1"/>
      <w:marLeft w:val="0"/>
      <w:marRight w:val="0"/>
      <w:marTop w:val="0"/>
      <w:marBottom w:val="0"/>
      <w:divBdr>
        <w:top w:val="none" w:sz="0" w:space="0" w:color="auto"/>
        <w:left w:val="none" w:sz="0" w:space="0" w:color="auto"/>
        <w:bottom w:val="none" w:sz="0" w:space="0" w:color="auto"/>
        <w:right w:val="none" w:sz="0" w:space="0" w:color="auto"/>
      </w:divBdr>
    </w:div>
    <w:div w:id="1272476470">
      <w:bodyDiv w:val="1"/>
      <w:marLeft w:val="0"/>
      <w:marRight w:val="0"/>
      <w:marTop w:val="0"/>
      <w:marBottom w:val="0"/>
      <w:divBdr>
        <w:top w:val="none" w:sz="0" w:space="0" w:color="auto"/>
        <w:left w:val="none" w:sz="0" w:space="0" w:color="auto"/>
        <w:bottom w:val="none" w:sz="0" w:space="0" w:color="auto"/>
        <w:right w:val="none" w:sz="0" w:space="0" w:color="auto"/>
      </w:divBdr>
    </w:div>
    <w:div w:id="1286891449">
      <w:bodyDiv w:val="1"/>
      <w:marLeft w:val="0"/>
      <w:marRight w:val="0"/>
      <w:marTop w:val="0"/>
      <w:marBottom w:val="0"/>
      <w:divBdr>
        <w:top w:val="none" w:sz="0" w:space="0" w:color="auto"/>
        <w:left w:val="none" w:sz="0" w:space="0" w:color="auto"/>
        <w:bottom w:val="none" w:sz="0" w:space="0" w:color="auto"/>
        <w:right w:val="none" w:sz="0" w:space="0" w:color="auto"/>
      </w:divBdr>
    </w:div>
    <w:div w:id="1320962118">
      <w:bodyDiv w:val="1"/>
      <w:marLeft w:val="0"/>
      <w:marRight w:val="0"/>
      <w:marTop w:val="0"/>
      <w:marBottom w:val="0"/>
      <w:divBdr>
        <w:top w:val="none" w:sz="0" w:space="0" w:color="auto"/>
        <w:left w:val="none" w:sz="0" w:space="0" w:color="auto"/>
        <w:bottom w:val="none" w:sz="0" w:space="0" w:color="auto"/>
        <w:right w:val="none" w:sz="0" w:space="0" w:color="auto"/>
      </w:divBdr>
    </w:div>
    <w:div w:id="1352105146">
      <w:bodyDiv w:val="1"/>
      <w:marLeft w:val="0"/>
      <w:marRight w:val="0"/>
      <w:marTop w:val="0"/>
      <w:marBottom w:val="0"/>
      <w:divBdr>
        <w:top w:val="none" w:sz="0" w:space="0" w:color="auto"/>
        <w:left w:val="none" w:sz="0" w:space="0" w:color="auto"/>
        <w:bottom w:val="none" w:sz="0" w:space="0" w:color="auto"/>
        <w:right w:val="none" w:sz="0" w:space="0" w:color="auto"/>
      </w:divBdr>
    </w:div>
    <w:div w:id="1502427814">
      <w:bodyDiv w:val="1"/>
      <w:marLeft w:val="0"/>
      <w:marRight w:val="0"/>
      <w:marTop w:val="0"/>
      <w:marBottom w:val="0"/>
      <w:divBdr>
        <w:top w:val="none" w:sz="0" w:space="0" w:color="auto"/>
        <w:left w:val="none" w:sz="0" w:space="0" w:color="auto"/>
        <w:bottom w:val="none" w:sz="0" w:space="0" w:color="auto"/>
        <w:right w:val="none" w:sz="0" w:space="0" w:color="auto"/>
      </w:divBdr>
    </w:div>
    <w:div w:id="1558012309">
      <w:bodyDiv w:val="1"/>
      <w:marLeft w:val="0"/>
      <w:marRight w:val="0"/>
      <w:marTop w:val="0"/>
      <w:marBottom w:val="0"/>
      <w:divBdr>
        <w:top w:val="none" w:sz="0" w:space="0" w:color="auto"/>
        <w:left w:val="none" w:sz="0" w:space="0" w:color="auto"/>
        <w:bottom w:val="none" w:sz="0" w:space="0" w:color="auto"/>
        <w:right w:val="none" w:sz="0" w:space="0" w:color="auto"/>
      </w:divBdr>
    </w:div>
    <w:div w:id="1576813909">
      <w:bodyDiv w:val="1"/>
      <w:marLeft w:val="0"/>
      <w:marRight w:val="0"/>
      <w:marTop w:val="0"/>
      <w:marBottom w:val="0"/>
      <w:divBdr>
        <w:top w:val="none" w:sz="0" w:space="0" w:color="auto"/>
        <w:left w:val="none" w:sz="0" w:space="0" w:color="auto"/>
        <w:bottom w:val="none" w:sz="0" w:space="0" w:color="auto"/>
        <w:right w:val="none" w:sz="0" w:space="0" w:color="auto"/>
      </w:divBdr>
    </w:div>
    <w:div w:id="1582178252">
      <w:bodyDiv w:val="1"/>
      <w:marLeft w:val="0"/>
      <w:marRight w:val="0"/>
      <w:marTop w:val="0"/>
      <w:marBottom w:val="0"/>
      <w:divBdr>
        <w:top w:val="none" w:sz="0" w:space="0" w:color="auto"/>
        <w:left w:val="none" w:sz="0" w:space="0" w:color="auto"/>
        <w:bottom w:val="none" w:sz="0" w:space="0" w:color="auto"/>
        <w:right w:val="none" w:sz="0" w:space="0" w:color="auto"/>
      </w:divBdr>
    </w:div>
    <w:div w:id="1585148438">
      <w:bodyDiv w:val="1"/>
      <w:marLeft w:val="0"/>
      <w:marRight w:val="0"/>
      <w:marTop w:val="0"/>
      <w:marBottom w:val="0"/>
      <w:divBdr>
        <w:top w:val="none" w:sz="0" w:space="0" w:color="auto"/>
        <w:left w:val="none" w:sz="0" w:space="0" w:color="auto"/>
        <w:bottom w:val="none" w:sz="0" w:space="0" w:color="auto"/>
        <w:right w:val="none" w:sz="0" w:space="0" w:color="auto"/>
      </w:divBdr>
    </w:div>
    <w:div w:id="1598054950">
      <w:bodyDiv w:val="1"/>
      <w:marLeft w:val="0"/>
      <w:marRight w:val="0"/>
      <w:marTop w:val="0"/>
      <w:marBottom w:val="0"/>
      <w:divBdr>
        <w:top w:val="none" w:sz="0" w:space="0" w:color="auto"/>
        <w:left w:val="none" w:sz="0" w:space="0" w:color="auto"/>
        <w:bottom w:val="none" w:sz="0" w:space="0" w:color="auto"/>
        <w:right w:val="none" w:sz="0" w:space="0" w:color="auto"/>
      </w:divBdr>
    </w:div>
    <w:div w:id="1610502185">
      <w:bodyDiv w:val="1"/>
      <w:marLeft w:val="0"/>
      <w:marRight w:val="0"/>
      <w:marTop w:val="0"/>
      <w:marBottom w:val="0"/>
      <w:divBdr>
        <w:top w:val="none" w:sz="0" w:space="0" w:color="auto"/>
        <w:left w:val="none" w:sz="0" w:space="0" w:color="auto"/>
        <w:bottom w:val="none" w:sz="0" w:space="0" w:color="auto"/>
        <w:right w:val="none" w:sz="0" w:space="0" w:color="auto"/>
      </w:divBdr>
    </w:div>
    <w:div w:id="1695299430">
      <w:bodyDiv w:val="1"/>
      <w:marLeft w:val="0"/>
      <w:marRight w:val="0"/>
      <w:marTop w:val="0"/>
      <w:marBottom w:val="0"/>
      <w:divBdr>
        <w:top w:val="none" w:sz="0" w:space="0" w:color="auto"/>
        <w:left w:val="none" w:sz="0" w:space="0" w:color="auto"/>
        <w:bottom w:val="none" w:sz="0" w:space="0" w:color="auto"/>
        <w:right w:val="none" w:sz="0" w:space="0" w:color="auto"/>
      </w:divBdr>
    </w:div>
    <w:div w:id="1847746326">
      <w:bodyDiv w:val="1"/>
      <w:marLeft w:val="0"/>
      <w:marRight w:val="0"/>
      <w:marTop w:val="0"/>
      <w:marBottom w:val="0"/>
      <w:divBdr>
        <w:top w:val="none" w:sz="0" w:space="0" w:color="auto"/>
        <w:left w:val="none" w:sz="0" w:space="0" w:color="auto"/>
        <w:bottom w:val="none" w:sz="0" w:space="0" w:color="auto"/>
        <w:right w:val="none" w:sz="0" w:space="0" w:color="auto"/>
      </w:divBdr>
    </w:div>
    <w:div w:id="1899434657">
      <w:bodyDiv w:val="1"/>
      <w:marLeft w:val="0"/>
      <w:marRight w:val="0"/>
      <w:marTop w:val="0"/>
      <w:marBottom w:val="0"/>
      <w:divBdr>
        <w:top w:val="none" w:sz="0" w:space="0" w:color="auto"/>
        <w:left w:val="none" w:sz="0" w:space="0" w:color="auto"/>
        <w:bottom w:val="none" w:sz="0" w:space="0" w:color="auto"/>
        <w:right w:val="none" w:sz="0" w:space="0" w:color="auto"/>
      </w:divBdr>
    </w:div>
    <w:div w:id="1960258092">
      <w:bodyDiv w:val="1"/>
      <w:marLeft w:val="0"/>
      <w:marRight w:val="0"/>
      <w:marTop w:val="0"/>
      <w:marBottom w:val="0"/>
      <w:divBdr>
        <w:top w:val="none" w:sz="0" w:space="0" w:color="auto"/>
        <w:left w:val="none" w:sz="0" w:space="0" w:color="auto"/>
        <w:bottom w:val="none" w:sz="0" w:space="0" w:color="auto"/>
        <w:right w:val="none" w:sz="0" w:space="0" w:color="auto"/>
      </w:divBdr>
    </w:div>
    <w:div w:id="2008826447">
      <w:bodyDiv w:val="1"/>
      <w:marLeft w:val="0"/>
      <w:marRight w:val="0"/>
      <w:marTop w:val="0"/>
      <w:marBottom w:val="0"/>
      <w:divBdr>
        <w:top w:val="none" w:sz="0" w:space="0" w:color="auto"/>
        <w:left w:val="none" w:sz="0" w:space="0" w:color="auto"/>
        <w:bottom w:val="none" w:sz="0" w:space="0" w:color="auto"/>
        <w:right w:val="none" w:sz="0" w:space="0" w:color="auto"/>
      </w:divBdr>
    </w:div>
    <w:div w:id="20701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Hoja2!$J$1</c:f>
              <c:strCache>
                <c:ptCount val="1"/>
                <c:pt idx="0">
                  <c:v>IV Trim</c:v>
                </c:pt>
              </c:strCache>
            </c:strRef>
          </c:tx>
          <c:invertIfNegative val="0"/>
          <c:dPt>
            <c:idx val="2"/>
            <c:invertIfNegative val="0"/>
            <c:bubble3D val="0"/>
            <c:spPr>
              <a:solidFill>
                <a:schemeClr val="accent3">
                  <a:lumMod val="75000"/>
                </a:schemeClr>
              </a:solidFill>
            </c:spPr>
          </c:dPt>
          <c:dLbls>
            <c:showLegendKey val="0"/>
            <c:showVal val="1"/>
            <c:showCatName val="0"/>
            <c:showSerName val="0"/>
            <c:showPercent val="0"/>
            <c:showBubbleSize val="0"/>
            <c:showLeaderLines val="0"/>
          </c:dLbls>
          <c:cat>
            <c:strRef>
              <c:f>Hoja2!$I$2:$I$4</c:f>
              <c:strCache>
                <c:ptCount val="3"/>
                <c:pt idx="0">
                  <c:v>Línea Estratégica 3: Fortalecimiento de capacidades institucionales</c:v>
                </c:pt>
                <c:pt idx="1">
                  <c:v>Línea Estratégica 2: Optimización del servicio público de adecuación de tierras</c:v>
                </c:pt>
                <c:pt idx="2">
                  <c:v>Línea Estratégica 1: Dinamización de la competitividad rural</c:v>
                </c:pt>
              </c:strCache>
            </c:strRef>
          </c:cat>
          <c:val>
            <c:numRef>
              <c:f>Hoja2!$J$2:$J$4</c:f>
              <c:numCache>
                <c:formatCode>0%</c:formatCode>
                <c:ptCount val="3"/>
                <c:pt idx="0">
                  <c:v>0.95</c:v>
                </c:pt>
                <c:pt idx="1">
                  <c:v>0.83</c:v>
                </c:pt>
                <c:pt idx="2">
                  <c:v>0.89</c:v>
                </c:pt>
              </c:numCache>
            </c:numRef>
          </c:val>
        </c:ser>
        <c:ser>
          <c:idx val="1"/>
          <c:order val="1"/>
          <c:tx>
            <c:strRef>
              <c:f>Hoja2!$K$1</c:f>
              <c:strCache>
                <c:ptCount val="1"/>
                <c:pt idx="0">
                  <c:v>IIITrim</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Hoja2!$I$2:$I$4</c:f>
              <c:strCache>
                <c:ptCount val="3"/>
                <c:pt idx="0">
                  <c:v>Línea Estratégica 3: Fortalecimiento de capacidades institucionales</c:v>
                </c:pt>
                <c:pt idx="1">
                  <c:v>Línea Estratégica 2: Optimización del servicio público de adecuación de tierras</c:v>
                </c:pt>
                <c:pt idx="2">
                  <c:v>Línea Estratégica 1: Dinamización de la competitividad rural</c:v>
                </c:pt>
              </c:strCache>
            </c:strRef>
          </c:cat>
          <c:val>
            <c:numRef>
              <c:f>Hoja2!$K$2:$K$4</c:f>
              <c:numCache>
                <c:formatCode>0%</c:formatCode>
                <c:ptCount val="3"/>
                <c:pt idx="0">
                  <c:v>0.67</c:v>
                </c:pt>
                <c:pt idx="1">
                  <c:v>0.49</c:v>
                </c:pt>
                <c:pt idx="2">
                  <c:v>0.34</c:v>
                </c:pt>
              </c:numCache>
            </c:numRef>
          </c:val>
        </c:ser>
        <c:ser>
          <c:idx val="2"/>
          <c:order val="2"/>
          <c:tx>
            <c:strRef>
              <c:f>Hoja2!$L$1</c:f>
              <c:strCache>
                <c:ptCount val="1"/>
                <c:pt idx="0">
                  <c:v>IITrim</c:v>
                </c:pt>
              </c:strCache>
            </c:strRef>
          </c:tx>
          <c:spPr>
            <a:solidFill>
              <a:srgbClr val="0CA45F"/>
            </a:solidFill>
          </c:spPr>
          <c:invertIfNegative val="0"/>
          <c:dLbls>
            <c:showLegendKey val="0"/>
            <c:showVal val="1"/>
            <c:showCatName val="0"/>
            <c:showSerName val="0"/>
            <c:showPercent val="0"/>
            <c:showBubbleSize val="0"/>
            <c:showLeaderLines val="0"/>
          </c:dLbls>
          <c:cat>
            <c:strRef>
              <c:f>Hoja2!$I$2:$I$4</c:f>
              <c:strCache>
                <c:ptCount val="3"/>
                <c:pt idx="0">
                  <c:v>Línea Estratégica 3: Fortalecimiento de capacidades institucionales</c:v>
                </c:pt>
                <c:pt idx="1">
                  <c:v>Línea Estratégica 2: Optimización del servicio público de adecuación de tierras</c:v>
                </c:pt>
                <c:pt idx="2">
                  <c:v>Línea Estratégica 1: Dinamización de la competitividad rural</c:v>
                </c:pt>
              </c:strCache>
            </c:strRef>
          </c:cat>
          <c:val>
            <c:numRef>
              <c:f>Hoja2!$L$2:$L$4</c:f>
              <c:numCache>
                <c:formatCode>0%</c:formatCode>
                <c:ptCount val="3"/>
                <c:pt idx="0">
                  <c:v>0.42</c:v>
                </c:pt>
                <c:pt idx="1">
                  <c:v>0.3</c:v>
                </c:pt>
                <c:pt idx="2">
                  <c:v>0.16</c:v>
                </c:pt>
              </c:numCache>
            </c:numRef>
          </c:val>
        </c:ser>
        <c:ser>
          <c:idx val="3"/>
          <c:order val="3"/>
          <c:tx>
            <c:strRef>
              <c:f>Hoja2!$M$1</c:f>
              <c:strCache>
                <c:ptCount val="1"/>
                <c:pt idx="0">
                  <c:v>I Trim</c:v>
                </c:pt>
              </c:strCache>
            </c:strRef>
          </c:tx>
          <c:invertIfNegative val="0"/>
          <c:dLbls>
            <c:showLegendKey val="0"/>
            <c:showVal val="1"/>
            <c:showCatName val="0"/>
            <c:showSerName val="0"/>
            <c:showPercent val="0"/>
            <c:showBubbleSize val="0"/>
            <c:showLeaderLines val="0"/>
          </c:dLbls>
          <c:cat>
            <c:strRef>
              <c:f>Hoja2!$I$2:$I$4</c:f>
              <c:strCache>
                <c:ptCount val="3"/>
                <c:pt idx="0">
                  <c:v>Línea Estratégica 3: Fortalecimiento de capacidades institucionales</c:v>
                </c:pt>
                <c:pt idx="1">
                  <c:v>Línea Estratégica 2: Optimización del servicio público de adecuación de tierras</c:v>
                </c:pt>
                <c:pt idx="2">
                  <c:v>Línea Estratégica 1: Dinamización de la competitividad rural</c:v>
                </c:pt>
              </c:strCache>
            </c:strRef>
          </c:cat>
          <c:val>
            <c:numRef>
              <c:f>Hoja2!$M$2:$M$4</c:f>
              <c:numCache>
                <c:formatCode>0%</c:formatCode>
                <c:ptCount val="3"/>
                <c:pt idx="0">
                  <c:v>0.28000000000000003</c:v>
                </c:pt>
                <c:pt idx="1">
                  <c:v>0.22</c:v>
                </c:pt>
                <c:pt idx="2">
                  <c:v>0.04</c:v>
                </c:pt>
              </c:numCache>
            </c:numRef>
          </c:val>
        </c:ser>
        <c:dLbls>
          <c:showLegendKey val="0"/>
          <c:showVal val="0"/>
          <c:showCatName val="0"/>
          <c:showSerName val="0"/>
          <c:showPercent val="0"/>
          <c:showBubbleSize val="0"/>
        </c:dLbls>
        <c:gapWidth val="150"/>
        <c:axId val="141221376"/>
        <c:axId val="88145216"/>
      </c:barChart>
      <c:catAx>
        <c:axId val="141221376"/>
        <c:scaling>
          <c:orientation val="minMax"/>
        </c:scaling>
        <c:delete val="0"/>
        <c:axPos val="l"/>
        <c:majorTickMark val="none"/>
        <c:minorTickMark val="none"/>
        <c:tickLblPos val="nextTo"/>
        <c:crossAx val="88145216"/>
        <c:crosses val="autoZero"/>
        <c:auto val="1"/>
        <c:lblAlgn val="ctr"/>
        <c:lblOffset val="100"/>
        <c:noMultiLvlLbl val="0"/>
      </c:catAx>
      <c:valAx>
        <c:axId val="88145216"/>
        <c:scaling>
          <c:orientation val="minMax"/>
        </c:scaling>
        <c:delete val="0"/>
        <c:axPos val="b"/>
        <c:majorGridlines/>
        <c:numFmt formatCode="0%" sourceLinked="1"/>
        <c:majorTickMark val="none"/>
        <c:minorTickMark val="none"/>
        <c:tickLblPos val="nextTo"/>
        <c:crossAx val="1412213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7CEAEE03952B489379BC1351EC59C7" ma:contentTypeVersion="2" ma:contentTypeDescription="Crear nuevo documento." ma:contentTypeScope="" ma:versionID="3006f00dbe1500b662c96f8ac0548c0f">
  <xsd:schema xmlns:xsd="http://www.w3.org/2001/XMLSchema" xmlns:xs="http://www.w3.org/2001/XMLSchema" xmlns:p="http://schemas.microsoft.com/office/2006/metadata/properties" xmlns:ns2="220353c8-0b70-4100-ab9d-1a8c23771e1b" xmlns:ns3="765bc3a6-e2b9-43ff-8feb-064937989b35" targetNamespace="http://schemas.microsoft.com/office/2006/metadata/properties" ma:root="true" ma:fieldsID="e29bc02b596799b1bef3b6dd21c46323" ns2:_="" ns3:_="">
    <xsd:import namespace="220353c8-0b70-4100-ab9d-1a8c23771e1b"/>
    <xsd:import namespace="765bc3a6-e2b9-43ff-8feb-064937989b35"/>
    <xsd:element name="properties">
      <xsd:complexType>
        <xsd:sequence>
          <xsd:element name="documentManagement">
            <xsd:complexType>
              <xsd:all>
                <xsd:element ref="ns2:Orden"/>
                <xsd:element ref="ns3: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53c8-0b70-4100-ab9d-1a8c23771e1b" elementFormDefault="qualified">
    <xsd:import namespace="http://schemas.microsoft.com/office/2006/documentManagement/types"/>
    <xsd:import namespace="http://schemas.microsoft.com/office/infopath/2007/PartnerControls"/>
    <xsd:element name="Orden" ma:index="8"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65bc3a6-e2b9-43ff-8feb-064937989b35" elementFormDefault="qualified">
    <xsd:import namespace="http://schemas.microsoft.com/office/2006/documentManagement/types"/>
    <xsd:import namespace="http://schemas.microsoft.com/office/infopath/2007/PartnerControls"/>
    <xsd:element name="vigencia" ma:index="9"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220353c8-0b70-4100-ab9d-1a8c23771e1b">6</Orden>
    <vigencia xmlns="765bc3a6-e2b9-43ff-8feb-064937989b35">2019</vigencia>
  </documentManagement>
</p:properties>
</file>

<file path=customXml/itemProps1.xml><?xml version="1.0" encoding="utf-8"?>
<ds:datastoreItem xmlns:ds="http://schemas.openxmlformats.org/officeDocument/2006/customXml" ds:itemID="{BDBC2918-532E-4D44-B039-6D4B705AAA72}"/>
</file>

<file path=customXml/itemProps2.xml><?xml version="1.0" encoding="utf-8"?>
<ds:datastoreItem xmlns:ds="http://schemas.openxmlformats.org/officeDocument/2006/customXml" ds:itemID="{B7187014-1849-4504-94B8-216AA4B2FD53}"/>
</file>

<file path=customXml/itemProps3.xml><?xml version="1.0" encoding="utf-8"?>
<ds:datastoreItem xmlns:ds="http://schemas.openxmlformats.org/officeDocument/2006/customXml" ds:itemID="{33E77C1F-D925-493A-90F1-E0939B729295}"/>
</file>

<file path=customXml/itemProps4.xml><?xml version="1.0" encoding="utf-8"?>
<ds:datastoreItem xmlns:ds="http://schemas.openxmlformats.org/officeDocument/2006/customXml" ds:itemID="{97628B42-1E8D-4756-A55B-4B60D3B96BDC}"/>
</file>

<file path=docProps/app.xml><?xml version="1.0" encoding="utf-8"?>
<Properties xmlns="http://schemas.openxmlformats.org/officeDocument/2006/extended-properties" xmlns:vt="http://schemas.openxmlformats.org/officeDocument/2006/docPropsVTypes">
  <Template>Normal</Template>
  <TotalTime>0</TotalTime>
  <Pages>44</Pages>
  <Words>10937</Words>
  <Characters>60159</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INFORME DE SEGUIMIENTO 
PLAN DE ACCIÓN 2019</vt:lpstr>
    </vt:vector>
  </TitlesOfParts>
  <Company>Agencia de Desarrollo Rural</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PLAN DE ACCIÓN 2019</dc:title>
  <dc:subject>Corte a 31 de Diciembre de 2019</dc:subject>
  <dc:creator>OFICINA DE PLANEACIÓN</dc:creator>
  <cp:lastModifiedBy>Monica Sidalia Marquez Ruiz</cp:lastModifiedBy>
  <cp:revision>2</cp:revision>
  <cp:lastPrinted>2019-12-12T00:53:00Z</cp:lastPrinted>
  <dcterms:created xsi:type="dcterms:W3CDTF">2020-01-31T16:33:00Z</dcterms:created>
  <dcterms:modified xsi:type="dcterms:W3CDTF">2020-01-31T16:33:00Z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0x010100D57CEAEE03952B489379BC1351EC59C7</vt:lpwstr>
  </property>
</Properties>
</file>