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C7315" w14:textId="488A3294" w:rsidR="00D51EA8" w:rsidRPr="00D41869" w:rsidRDefault="000A4099" w:rsidP="00194DA4">
      <w:pPr>
        <w:spacing w:line="240" w:lineRule="auto"/>
        <w:jc w:val="center"/>
        <w:rPr>
          <w:rFonts w:ascii="Arial" w:hAnsi="Arial" w:cs="Arial"/>
          <w:color w:val="70AD47" w:themeColor="accent6"/>
          <w:sz w:val="24"/>
          <w:szCs w:val="24"/>
        </w:rPr>
      </w:pPr>
      <w:r>
        <w:rPr>
          <w:rFonts w:ascii="Arial" w:hAnsi="Arial" w:cs="Arial"/>
          <w:color w:val="70AD47" w:themeColor="accent6"/>
          <w:sz w:val="24"/>
          <w:szCs w:val="24"/>
        </w:rPr>
        <w:t>INFORME DE SE</w:t>
      </w:r>
      <w:r w:rsidR="002B1E2B">
        <w:rPr>
          <w:rFonts w:ascii="Arial" w:hAnsi="Arial" w:cs="Arial"/>
          <w:color w:val="70AD47" w:themeColor="accent6"/>
          <w:sz w:val="24"/>
          <w:szCs w:val="24"/>
        </w:rPr>
        <w:t>GUIMIENTO AL PLAN DE ACCIÓN 2020</w:t>
      </w:r>
    </w:p>
    <w:p w14:paraId="7B179CCE" w14:textId="77777777" w:rsidR="00D51EA8" w:rsidRPr="00D41869" w:rsidRDefault="00D51EA8" w:rsidP="00194DA4">
      <w:pPr>
        <w:spacing w:line="240" w:lineRule="auto"/>
        <w:jc w:val="center"/>
        <w:rPr>
          <w:rFonts w:ascii="Arial" w:hAnsi="Arial" w:cs="Arial"/>
          <w:color w:val="70AD47" w:themeColor="accent6"/>
          <w:sz w:val="24"/>
          <w:szCs w:val="24"/>
        </w:rPr>
      </w:pPr>
    </w:p>
    <w:p w14:paraId="53E7832B" w14:textId="66261D30" w:rsidR="00D51EA8" w:rsidRPr="00D41869" w:rsidRDefault="00217759" w:rsidP="00194DA4">
      <w:pPr>
        <w:spacing w:line="240" w:lineRule="auto"/>
        <w:jc w:val="center"/>
        <w:rPr>
          <w:rFonts w:ascii="Arial" w:hAnsi="Arial" w:cs="Arial"/>
          <w:color w:val="ED7D31" w:themeColor="accent2"/>
          <w:sz w:val="24"/>
          <w:szCs w:val="24"/>
        </w:rPr>
      </w:pPr>
      <w:r>
        <w:rPr>
          <w:rFonts w:ascii="Arial" w:hAnsi="Arial" w:cs="Arial"/>
          <w:color w:val="ED7D31" w:themeColor="accent2"/>
          <w:sz w:val="24"/>
          <w:szCs w:val="24"/>
        </w:rPr>
        <w:t xml:space="preserve">PRIMER </w:t>
      </w:r>
      <w:r w:rsidR="000A4099">
        <w:rPr>
          <w:rFonts w:ascii="Arial" w:hAnsi="Arial" w:cs="Arial"/>
          <w:color w:val="ED7D31" w:themeColor="accent2"/>
          <w:sz w:val="24"/>
          <w:szCs w:val="24"/>
        </w:rPr>
        <w:t>TRIMESTRE</w:t>
      </w:r>
    </w:p>
    <w:p w14:paraId="739FFE08" w14:textId="77777777" w:rsidR="00D51EA8" w:rsidRPr="00D41869" w:rsidRDefault="00D51EA8" w:rsidP="00194DA4">
      <w:pPr>
        <w:spacing w:line="240" w:lineRule="auto"/>
        <w:rPr>
          <w:rFonts w:ascii="Arial" w:hAnsi="Arial" w:cs="Arial"/>
          <w:sz w:val="24"/>
          <w:szCs w:val="24"/>
        </w:rPr>
      </w:pPr>
    </w:p>
    <w:p w14:paraId="5BE16AF2" w14:textId="77777777" w:rsidR="00D51EA8" w:rsidRPr="00D41869" w:rsidRDefault="00D51EA8" w:rsidP="00194DA4">
      <w:pPr>
        <w:spacing w:line="240" w:lineRule="auto"/>
        <w:rPr>
          <w:rFonts w:ascii="Arial" w:hAnsi="Arial" w:cs="Arial"/>
          <w:sz w:val="24"/>
          <w:szCs w:val="24"/>
        </w:rPr>
      </w:pPr>
    </w:p>
    <w:p w14:paraId="71D0B16F" w14:textId="77777777" w:rsidR="00D51EA8" w:rsidRPr="00D41869" w:rsidRDefault="00D51EA8" w:rsidP="00194DA4">
      <w:pPr>
        <w:spacing w:line="240" w:lineRule="auto"/>
        <w:rPr>
          <w:rFonts w:ascii="Arial" w:hAnsi="Arial" w:cs="Arial"/>
          <w:sz w:val="24"/>
          <w:szCs w:val="24"/>
        </w:rPr>
      </w:pPr>
      <w:r w:rsidRPr="00D41869">
        <w:rPr>
          <w:rFonts w:ascii="Arial" w:eastAsia="Arial" w:hAnsi="Arial" w:cs="Arial"/>
          <w:noProof/>
          <w:sz w:val="24"/>
          <w:szCs w:val="24"/>
          <w:lang w:eastAsia="es-CO"/>
        </w:rPr>
        <w:drawing>
          <wp:anchor distT="0" distB="0" distL="114300" distR="114300" simplePos="0" relativeHeight="251662336" behindDoc="1" locked="0" layoutInCell="1" allowOverlap="1" wp14:anchorId="27F2296E" wp14:editId="102C181D">
            <wp:simplePos x="0" y="0"/>
            <wp:positionH relativeFrom="column">
              <wp:posOffset>1291590</wp:posOffset>
            </wp:positionH>
            <wp:positionV relativeFrom="paragraph">
              <wp:posOffset>46355</wp:posOffset>
            </wp:positionV>
            <wp:extent cx="2895600" cy="678377"/>
            <wp:effectExtent l="0" t="0" r="0" b="0"/>
            <wp:wrapTight wrapText="bothSides">
              <wp:wrapPolygon edited="0">
                <wp:start x="142" y="0"/>
                <wp:lineTo x="142" y="20022"/>
                <wp:lineTo x="21458" y="20022"/>
                <wp:lineTo x="21458" y="0"/>
                <wp:lineTo x="14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rotWithShape="1">
                    <a:blip r:embed="rId8">
                      <a:extLst>
                        <a:ext uri="{28A0092B-C50C-407E-A947-70E740481C1C}">
                          <a14:useLocalDpi xmlns:a14="http://schemas.microsoft.com/office/drawing/2010/main" val="0"/>
                        </a:ext>
                      </a:extLst>
                    </a:blip>
                    <a:srcRect l="72471" t="30636" b="27789"/>
                    <a:stretch/>
                  </pic:blipFill>
                  <pic:spPr bwMode="auto">
                    <a:xfrm>
                      <a:off x="0" y="0"/>
                      <a:ext cx="2895600" cy="6783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3E243" w14:textId="02F98AEC" w:rsidR="00D51EA8" w:rsidRPr="00D41869" w:rsidRDefault="00D51EA8" w:rsidP="00194DA4">
      <w:pPr>
        <w:spacing w:line="240" w:lineRule="auto"/>
        <w:rPr>
          <w:rFonts w:ascii="Arial" w:hAnsi="Arial" w:cs="Arial"/>
          <w:sz w:val="24"/>
          <w:szCs w:val="24"/>
        </w:rPr>
      </w:pPr>
    </w:p>
    <w:p w14:paraId="577C16C1" w14:textId="77777777" w:rsidR="00D51EA8" w:rsidRPr="00D41869" w:rsidRDefault="00D51EA8" w:rsidP="00194DA4">
      <w:pPr>
        <w:spacing w:line="240" w:lineRule="auto"/>
        <w:rPr>
          <w:rFonts w:ascii="Arial" w:hAnsi="Arial" w:cs="Arial"/>
          <w:sz w:val="24"/>
          <w:szCs w:val="24"/>
        </w:rPr>
      </w:pPr>
    </w:p>
    <w:p w14:paraId="4E81D20A" w14:textId="77777777" w:rsidR="00D51EA8" w:rsidRPr="00D41869" w:rsidRDefault="00D51EA8" w:rsidP="00194DA4">
      <w:pPr>
        <w:spacing w:line="240" w:lineRule="auto"/>
        <w:rPr>
          <w:rFonts w:ascii="Arial" w:hAnsi="Arial" w:cs="Arial"/>
          <w:sz w:val="24"/>
          <w:szCs w:val="24"/>
        </w:rPr>
      </w:pPr>
    </w:p>
    <w:p w14:paraId="6563A0FF" w14:textId="77777777" w:rsidR="00D51EA8" w:rsidRPr="00D41869" w:rsidRDefault="00D51EA8" w:rsidP="00194DA4">
      <w:pPr>
        <w:spacing w:line="240" w:lineRule="auto"/>
        <w:rPr>
          <w:rFonts w:ascii="Arial" w:hAnsi="Arial" w:cs="Arial"/>
          <w:sz w:val="24"/>
          <w:szCs w:val="24"/>
        </w:rPr>
      </w:pPr>
    </w:p>
    <w:p w14:paraId="3A244EE6" w14:textId="3A5340C6" w:rsidR="00D51EA8" w:rsidRPr="00D41869" w:rsidRDefault="000A4099" w:rsidP="00194DA4">
      <w:pPr>
        <w:spacing w:line="240" w:lineRule="auto"/>
        <w:rPr>
          <w:rFonts w:ascii="Arial" w:hAnsi="Arial" w:cs="Arial"/>
          <w:sz w:val="24"/>
          <w:szCs w:val="24"/>
        </w:rPr>
      </w:pPr>
      <w:r w:rsidRPr="00D41869">
        <w:rPr>
          <w:rFonts w:ascii="Arial" w:hAnsi="Arial" w:cs="Arial"/>
          <w:b/>
          <w:noProof/>
          <w:sz w:val="24"/>
          <w:szCs w:val="24"/>
          <w:lang w:eastAsia="es-CO"/>
        </w:rPr>
        <w:drawing>
          <wp:anchor distT="0" distB="0" distL="114300" distR="114300" simplePos="0" relativeHeight="251661312" behindDoc="1" locked="0" layoutInCell="1" allowOverlap="1" wp14:anchorId="06A5B807" wp14:editId="1AD6A053">
            <wp:simplePos x="0" y="0"/>
            <wp:positionH relativeFrom="page">
              <wp:posOffset>0</wp:posOffset>
            </wp:positionH>
            <wp:positionV relativeFrom="paragraph">
              <wp:posOffset>1065368</wp:posOffset>
            </wp:positionV>
            <wp:extent cx="7854950" cy="600202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4950" cy="600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3957D" w14:textId="77777777" w:rsidR="00D51EA8" w:rsidRPr="00D41869" w:rsidRDefault="00D51EA8" w:rsidP="00194DA4">
      <w:pPr>
        <w:spacing w:line="240" w:lineRule="auto"/>
        <w:rPr>
          <w:rFonts w:ascii="Arial" w:hAnsi="Arial" w:cs="Arial"/>
          <w:sz w:val="24"/>
          <w:szCs w:val="24"/>
        </w:rPr>
        <w:sectPr w:rsidR="00D51EA8" w:rsidRPr="00D41869" w:rsidSect="00D51EA8">
          <w:headerReference w:type="default" r:id="rId10"/>
          <w:footerReference w:type="default" r:id="rId11"/>
          <w:pgSz w:w="12240" w:h="15840"/>
          <w:pgMar w:top="1933" w:right="1701" w:bottom="1417" w:left="1701" w:header="708" w:footer="708" w:gutter="0"/>
          <w:cols w:space="708"/>
          <w:titlePg/>
          <w:docGrid w:linePitch="360"/>
        </w:sectPr>
      </w:pPr>
    </w:p>
    <w:p w14:paraId="1D3B5DC3" w14:textId="77777777" w:rsidR="000A4099" w:rsidRPr="00B51242" w:rsidRDefault="000A4099" w:rsidP="000A4099">
      <w:pPr>
        <w:autoSpaceDE w:val="0"/>
        <w:autoSpaceDN w:val="0"/>
        <w:adjustRightInd w:val="0"/>
        <w:spacing w:line="240" w:lineRule="auto"/>
        <w:rPr>
          <w:rFonts w:ascii="Arial" w:hAnsi="Arial" w:cs="Arial"/>
          <w:b/>
          <w:bCs/>
          <w:color w:val="538135" w:themeColor="accent6" w:themeShade="BF"/>
          <w:sz w:val="24"/>
          <w:szCs w:val="24"/>
        </w:rPr>
      </w:pPr>
      <w:r w:rsidRPr="000A4099">
        <w:rPr>
          <w:rFonts w:ascii="Arial" w:hAnsi="Arial" w:cs="Arial"/>
          <w:b/>
          <w:bCs/>
          <w:color w:val="538135" w:themeColor="accent6" w:themeShade="BF"/>
          <w:sz w:val="24"/>
          <w:szCs w:val="24"/>
        </w:rPr>
        <w:lastRenderedPageBreak/>
        <w:t xml:space="preserve">INTRODUCCIÓN </w:t>
      </w:r>
    </w:p>
    <w:p w14:paraId="5F61D790" w14:textId="77777777" w:rsidR="000A4099" w:rsidRPr="000A4099" w:rsidRDefault="000A4099" w:rsidP="000A4099">
      <w:pPr>
        <w:autoSpaceDE w:val="0"/>
        <w:autoSpaceDN w:val="0"/>
        <w:adjustRightInd w:val="0"/>
        <w:spacing w:line="240" w:lineRule="auto"/>
        <w:rPr>
          <w:rFonts w:ascii="Arial" w:hAnsi="Arial" w:cs="Arial"/>
          <w:b/>
          <w:bCs/>
          <w:color w:val="000000"/>
          <w:sz w:val="24"/>
          <w:szCs w:val="24"/>
        </w:rPr>
      </w:pPr>
    </w:p>
    <w:p w14:paraId="0988B877" w14:textId="17E071F9" w:rsidR="000A4099" w:rsidRDefault="000A4099" w:rsidP="000A4099">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 xml:space="preserve">La Agencia de Desarrollo Rural </w:t>
      </w:r>
      <w:r w:rsidR="00FA6C35">
        <w:rPr>
          <w:rFonts w:ascii="Arial" w:hAnsi="Arial" w:cs="Arial"/>
          <w:color w:val="000000"/>
          <w:sz w:val="24"/>
          <w:szCs w:val="24"/>
        </w:rPr>
        <w:t xml:space="preserve">(ADR) </w:t>
      </w:r>
      <w:r w:rsidRPr="000A4099">
        <w:rPr>
          <w:rFonts w:ascii="Arial" w:hAnsi="Arial" w:cs="Arial"/>
          <w:color w:val="000000"/>
          <w:sz w:val="24"/>
          <w:szCs w:val="24"/>
        </w:rPr>
        <w:t>inició su proceso de conformación durante el segundo semestre de 2016, por lo que, en los siguientes dos años, estuvo dedicada sustancialmente a administrar el proceso de transición de algunos proyectos, recursos y asuntos transferidos del ya liquidado Instituto C</w:t>
      </w:r>
      <w:r w:rsidR="00FA6C35">
        <w:rPr>
          <w:rFonts w:ascii="Arial" w:hAnsi="Arial" w:cs="Arial"/>
          <w:color w:val="000000"/>
          <w:sz w:val="24"/>
          <w:szCs w:val="24"/>
        </w:rPr>
        <w:t>olombiano de Desarrollo Rural (</w:t>
      </w:r>
      <w:r w:rsidRPr="000A4099">
        <w:rPr>
          <w:rFonts w:ascii="Arial" w:hAnsi="Arial" w:cs="Arial"/>
          <w:color w:val="000000"/>
          <w:sz w:val="24"/>
          <w:szCs w:val="24"/>
        </w:rPr>
        <w:t>INCODER</w:t>
      </w:r>
      <w:r w:rsidR="00FA6C35">
        <w:rPr>
          <w:rFonts w:ascii="Arial" w:hAnsi="Arial" w:cs="Arial"/>
          <w:color w:val="000000"/>
          <w:sz w:val="24"/>
          <w:szCs w:val="24"/>
        </w:rPr>
        <w:t>)</w:t>
      </w:r>
      <w:r w:rsidRPr="000A4099">
        <w:rPr>
          <w:rFonts w:ascii="Arial" w:hAnsi="Arial" w:cs="Arial"/>
          <w:color w:val="000000"/>
          <w:sz w:val="24"/>
          <w:szCs w:val="24"/>
        </w:rPr>
        <w:t xml:space="preserve">. Este proceso culminó con la puesta en marcha del nuevo modelo de operación y gestión establecido en el Decreto 2364 de 2015. </w:t>
      </w:r>
    </w:p>
    <w:p w14:paraId="6FDEF0D2" w14:textId="77777777" w:rsidR="000A4099" w:rsidRPr="000A4099" w:rsidRDefault="000A4099" w:rsidP="000A4099">
      <w:pPr>
        <w:autoSpaceDE w:val="0"/>
        <w:autoSpaceDN w:val="0"/>
        <w:adjustRightInd w:val="0"/>
        <w:spacing w:line="240" w:lineRule="auto"/>
        <w:jc w:val="both"/>
        <w:rPr>
          <w:rFonts w:ascii="Arial" w:hAnsi="Arial" w:cs="Arial"/>
          <w:color w:val="000000"/>
          <w:sz w:val="24"/>
          <w:szCs w:val="24"/>
        </w:rPr>
      </w:pPr>
    </w:p>
    <w:p w14:paraId="5D1970AA" w14:textId="4794948E" w:rsidR="000A4099" w:rsidRDefault="00FA6C35" w:rsidP="000A4099">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Al respecto, cabe señalar que </w:t>
      </w:r>
      <w:r w:rsidR="000A4099" w:rsidRPr="000A4099">
        <w:rPr>
          <w:rFonts w:ascii="Arial" w:hAnsi="Arial" w:cs="Arial"/>
          <w:color w:val="000000"/>
          <w:sz w:val="24"/>
          <w:szCs w:val="24"/>
        </w:rPr>
        <w:t>durante la transición y consolidación ins</w:t>
      </w:r>
      <w:r>
        <w:rPr>
          <w:rFonts w:ascii="Arial" w:hAnsi="Arial" w:cs="Arial"/>
          <w:color w:val="000000"/>
          <w:sz w:val="24"/>
          <w:szCs w:val="24"/>
        </w:rPr>
        <w:t>titucional de la ADR</w:t>
      </w:r>
      <w:r w:rsidR="000A4099" w:rsidRPr="000A4099">
        <w:rPr>
          <w:rFonts w:ascii="Arial" w:hAnsi="Arial" w:cs="Arial"/>
          <w:color w:val="000000"/>
          <w:sz w:val="24"/>
          <w:szCs w:val="24"/>
        </w:rPr>
        <w:t xml:space="preserve">, se optó por concentrar su direccionamiento estratégico en un plan para la vigencia 2017-2018, que permitiera fortalecer procesos internos para responder a los retos y lineamientos planteados en el Plan Nacional de Desarrollo. </w:t>
      </w:r>
    </w:p>
    <w:p w14:paraId="56C993D0" w14:textId="77777777" w:rsidR="000A4099" w:rsidRPr="000A4099" w:rsidRDefault="000A4099" w:rsidP="000A4099">
      <w:pPr>
        <w:autoSpaceDE w:val="0"/>
        <w:autoSpaceDN w:val="0"/>
        <w:adjustRightInd w:val="0"/>
        <w:spacing w:line="240" w:lineRule="auto"/>
        <w:jc w:val="both"/>
        <w:rPr>
          <w:rFonts w:ascii="Arial" w:hAnsi="Arial" w:cs="Arial"/>
          <w:color w:val="000000"/>
          <w:sz w:val="24"/>
          <w:szCs w:val="24"/>
        </w:rPr>
      </w:pPr>
    </w:p>
    <w:p w14:paraId="340415E1" w14:textId="77777777" w:rsidR="000A4099" w:rsidRDefault="000A4099" w:rsidP="000A4099">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 xml:space="preserve">Hoy, la ADR se encuentra enfrentada a nuevos retos, entre los que se incluye posicionarse como una instancia estructuradora y ejecutora nacional reconocida, mediante el fortalecimiento de la oferta de los Proyectos Integrales de Desarrollo Agropecuario, y la prestación de los servicios públicos de adecuación de tierras y extensión agropecuaria, asesoría y acompañamiento en estrategias de comercialización y el fortalecimiento y conformación de asociaciones de producción agropecuarias. </w:t>
      </w:r>
    </w:p>
    <w:p w14:paraId="0E387625" w14:textId="77777777" w:rsidR="000A4099" w:rsidRPr="000A4099" w:rsidRDefault="000A4099" w:rsidP="000A4099">
      <w:pPr>
        <w:autoSpaceDE w:val="0"/>
        <w:autoSpaceDN w:val="0"/>
        <w:adjustRightInd w:val="0"/>
        <w:spacing w:line="240" w:lineRule="auto"/>
        <w:jc w:val="both"/>
        <w:rPr>
          <w:rFonts w:ascii="Arial" w:hAnsi="Arial" w:cs="Arial"/>
          <w:color w:val="000000"/>
          <w:sz w:val="24"/>
          <w:szCs w:val="24"/>
        </w:rPr>
      </w:pPr>
    </w:p>
    <w:p w14:paraId="1BC836B3" w14:textId="5073E2EB" w:rsidR="000A4099" w:rsidRDefault="000A4099" w:rsidP="000A4099">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 xml:space="preserve">Con este propósito </w:t>
      </w:r>
      <w:r w:rsidR="00FA6C35">
        <w:rPr>
          <w:rFonts w:ascii="Arial" w:hAnsi="Arial" w:cs="Arial"/>
          <w:color w:val="000000"/>
          <w:sz w:val="24"/>
          <w:szCs w:val="24"/>
        </w:rPr>
        <w:t xml:space="preserve">se construyó el </w:t>
      </w:r>
      <w:r w:rsidRPr="000A4099">
        <w:rPr>
          <w:rFonts w:ascii="Arial" w:hAnsi="Arial" w:cs="Arial"/>
          <w:color w:val="000000"/>
          <w:sz w:val="24"/>
          <w:szCs w:val="24"/>
        </w:rPr>
        <w:t xml:space="preserve">Plan Estratégico Institucional para 2018 </w:t>
      </w:r>
      <w:r w:rsidR="00FA6C35">
        <w:rPr>
          <w:rFonts w:ascii="Arial" w:hAnsi="Arial" w:cs="Arial"/>
          <w:color w:val="000000"/>
          <w:sz w:val="24"/>
          <w:szCs w:val="24"/>
        </w:rPr>
        <w:t>–</w:t>
      </w:r>
      <w:r w:rsidRPr="000A4099">
        <w:rPr>
          <w:rFonts w:ascii="Arial" w:hAnsi="Arial" w:cs="Arial"/>
          <w:color w:val="000000"/>
          <w:sz w:val="24"/>
          <w:szCs w:val="24"/>
        </w:rPr>
        <w:t xml:space="preserve"> 2022, del cual se desprenden los Planes de Ac</w:t>
      </w:r>
      <w:r w:rsidR="00FA6C35">
        <w:rPr>
          <w:rFonts w:ascii="Arial" w:hAnsi="Arial" w:cs="Arial"/>
          <w:color w:val="000000"/>
          <w:sz w:val="24"/>
          <w:szCs w:val="24"/>
        </w:rPr>
        <w:t>ción anuales, siendo el 2020</w:t>
      </w:r>
      <w:r w:rsidR="00D85567">
        <w:rPr>
          <w:rFonts w:ascii="Arial" w:hAnsi="Arial" w:cs="Arial"/>
          <w:color w:val="000000"/>
          <w:sz w:val="24"/>
          <w:szCs w:val="24"/>
        </w:rPr>
        <w:t xml:space="preserve"> el que continuará consolidando</w:t>
      </w:r>
      <w:r w:rsidRPr="000A4099">
        <w:rPr>
          <w:rFonts w:ascii="Arial" w:hAnsi="Arial" w:cs="Arial"/>
          <w:color w:val="000000"/>
          <w:sz w:val="24"/>
          <w:szCs w:val="24"/>
        </w:rPr>
        <w:t xml:space="preserve"> el modelo de operación que asegure la entrega de los bienes y servicios públicos a su cargo de la manera más eficiente </w:t>
      </w:r>
      <w:r w:rsidR="00FA6C35">
        <w:rPr>
          <w:rFonts w:ascii="Arial" w:hAnsi="Arial" w:cs="Arial"/>
          <w:color w:val="000000"/>
          <w:sz w:val="24"/>
          <w:szCs w:val="24"/>
        </w:rPr>
        <w:t>y con el mayor impacto posible. P</w:t>
      </w:r>
      <w:r w:rsidRPr="000A4099">
        <w:rPr>
          <w:rFonts w:ascii="Arial" w:hAnsi="Arial" w:cs="Arial"/>
          <w:color w:val="000000"/>
          <w:sz w:val="24"/>
          <w:szCs w:val="24"/>
        </w:rPr>
        <w:t>ara lograrlo</w:t>
      </w:r>
      <w:r w:rsidR="00FA6C35">
        <w:rPr>
          <w:rFonts w:ascii="Arial" w:hAnsi="Arial" w:cs="Arial"/>
          <w:color w:val="000000"/>
          <w:sz w:val="24"/>
          <w:szCs w:val="24"/>
        </w:rPr>
        <w:t>, en el  Plan Estratégico Institucional 2018-2022</w:t>
      </w:r>
      <w:r w:rsidRPr="000A4099">
        <w:rPr>
          <w:rFonts w:ascii="Arial" w:hAnsi="Arial" w:cs="Arial"/>
          <w:color w:val="000000"/>
          <w:sz w:val="24"/>
          <w:szCs w:val="24"/>
        </w:rPr>
        <w:t xml:space="preserve"> se defi</w:t>
      </w:r>
      <w:r w:rsidR="00FA6C35">
        <w:rPr>
          <w:rFonts w:ascii="Arial" w:hAnsi="Arial" w:cs="Arial"/>
          <w:color w:val="000000"/>
          <w:sz w:val="24"/>
          <w:szCs w:val="24"/>
        </w:rPr>
        <w:t>nieron tres líneas estratégicas</w:t>
      </w:r>
      <w:r w:rsidRPr="000A4099">
        <w:rPr>
          <w:rFonts w:ascii="Arial" w:hAnsi="Arial" w:cs="Arial"/>
          <w:color w:val="000000"/>
          <w:sz w:val="24"/>
          <w:szCs w:val="24"/>
        </w:rPr>
        <w:t xml:space="preserve"> sobre las cuales se construyó el Plan de Acción Ins</w:t>
      </w:r>
      <w:r w:rsidR="00FA6C35">
        <w:rPr>
          <w:rFonts w:ascii="Arial" w:hAnsi="Arial" w:cs="Arial"/>
          <w:color w:val="000000"/>
          <w:sz w:val="24"/>
          <w:szCs w:val="24"/>
        </w:rPr>
        <w:t>titucional para la Vigencia 2020,</w:t>
      </w:r>
      <w:r w:rsidRPr="000A4099">
        <w:rPr>
          <w:rFonts w:ascii="Arial" w:hAnsi="Arial" w:cs="Arial"/>
          <w:color w:val="000000"/>
          <w:sz w:val="24"/>
          <w:szCs w:val="24"/>
        </w:rPr>
        <w:t xml:space="preserve"> así: </w:t>
      </w:r>
    </w:p>
    <w:p w14:paraId="2A13F77C" w14:textId="77777777" w:rsidR="00FA6C35" w:rsidRPr="000A4099" w:rsidRDefault="00FA6C35" w:rsidP="000A4099">
      <w:pPr>
        <w:autoSpaceDE w:val="0"/>
        <w:autoSpaceDN w:val="0"/>
        <w:adjustRightInd w:val="0"/>
        <w:spacing w:line="240" w:lineRule="auto"/>
        <w:jc w:val="both"/>
        <w:rPr>
          <w:rFonts w:ascii="Arial" w:hAnsi="Arial" w:cs="Arial"/>
          <w:color w:val="000000"/>
          <w:sz w:val="24"/>
          <w:szCs w:val="24"/>
        </w:rPr>
      </w:pPr>
    </w:p>
    <w:p w14:paraId="6AE74252" w14:textId="77777777" w:rsidR="000A4099" w:rsidRDefault="000A4099" w:rsidP="000A4099">
      <w:pPr>
        <w:autoSpaceDE w:val="0"/>
        <w:autoSpaceDN w:val="0"/>
        <w:adjustRightInd w:val="0"/>
        <w:spacing w:line="240" w:lineRule="auto"/>
        <w:jc w:val="both"/>
        <w:rPr>
          <w:rFonts w:ascii="Arial" w:hAnsi="Arial" w:cs="Arial"/>
          <w:b/>
          <w:bCs/>
          <w:color w:val="000000"/>
          <w:sz w:val="24"/>
          <w:szCs w:val="24"/>
        </w:rPr>
      </w:pPr>
      <w:r w:rsidRPr="000A4099">
        <w:rPr>
          <w:rFonts w:ascii="Arial" w:hAnsi="Arial" w:cs="Arial"/>
          <w:b/>
          <w:bCs/>
          <w:color w:val="000000"/>
          <w:sz w:val="24"/>
          <w:szCs w:val="24"/>
        </w:rPr>
        <w:t xml:space="preserve">LÍNEA ESTRATÉGICA 1: DINAMIZACIÓN DE LA COMPETITIVIDAD RURAL </w:t>
      </w:r>
    </w:p>
    <w:p w14:paraId="24BA8ED8" w14:textId="77777777" w:rsidR="00280AC7" w:rsidRPr="000A4099" w:rsidRDefault="00280AC7" w:rsidP="000A4099">
      <w:pPr>
        <w:autoSpaceDE w:val="0"/>
        <w:autoSpaceDN w:val="0"/>
        <w:adjustRightInd w:val="0"/>
        <w:spacing w:line="240" w:lineRule="auto"/>
        <w:jc w:val="both"/>
        <w:rPr>
          <w:rFonts w:ascii="Arial" w:hAnsi="Arial" w:cs="Arial"/>
          <w:color w:val="000000"/>
          <w:sz w:val="24"/>
          <w:szCs w:val="24"/>
        </w:rPr>
      </w:pPr>
    </w:p>
    <w:p w14:paraId="442D6AD2" w14:textId="08D52D76" w:rsidR="000A4099" w:rsidRPr="00280AC7" w:rsidRDefault="00280AC7" w:rsidP="00280AC7">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La ADR</w:t>
      </w:r>
      <w:r w:rsidR="000A4099" w:rsidRPr="000A4099">
        <w:rPr>
          <w:rFonts w:ascii="Arial" w:hAnsi="Arial" w:cs="Arial"/>
          <w:color w:val="000000"/>
          <w:sz w:val="24"/>
          <w:szCs w:val="24"/>
        </w:rPr>
        <w:t xml:space="preserve"> tiene dentro de sus funciones la de contribuir a mejorar la productividad, ingresos, capacidades y condiciones de vida que beneficien a los pequeños y medianos productores rurales y a las Entidades Territoriales que presenten iniciativas colectivas que beneficien a la comunidad, a través de los Planes Integrales de Desarrollo Agropecuario y Rural con Enfoque Territorial, los Proyectos Integrales de Desarrollo Agropecuario y Rur</w:t>
      </w:r>
      <w:r>
        <w:rPr>
          <w:rFonts w:ascii="Arial" w:hAnsi="Arial" w:cs="Arial"/>
          <w:color w:val="000000"/>
          <w:sz w:val="24"/>
          <w:szCs w:val="24"/>
        </w:rPr>
        <w:t>al (</w:t>
      </w:r>
      <w:r w:rsidR="000A4099" w:rsidRPr="000A4099">
        <w:rPr>
          <w:rFonts w:ascii="Arial" w:hAnsi="Arial" w:cs="Arial"/>
          <w:color w:val="000000"/>
          <w:sz w:val="24"/>
          <w:szCs w:val="24"/>
        </w:rPr>
        <w:t>PIDAR</w:t>
      </w:r>
      <w:r>
        <w:rPr>
          <w:rFonts w:ascii="Arial" w:hAnsi="Arial" w:cs="Arial"/>
          <w:color w:val="000000"/>
          <w:sz w:val="24"/>
          <w:szCs w:val="24"/>
        </w:rPr>
        <w:t>)</w:t>
      </w:r>
      <w:r w:rsidR="000A4099" w:rsidRPr="000A4099">
        <w:rPr>
          <w:rFonts w:ascii="Arial" w:hAnsi="Arial" w:cs="Arial"/>
          <w:color w:val="000000"/>
          <w:sz w:val="24"/>
          <w:szCs w:val="24"/>
        </w:rPr>
        <w:t xml:space="preserve"> que podrán ser proyectos estratégicos nacionales, proyectos territoriales y proyectos asociativos</w:t>
      </w:r>
      <w:r w:rsidR="003B6AFB">
        <w:rPr>
          <w:rFonts w:ascii="Arial" w:hAnsi="Arial" w:cs="Arial"/>
          <w:color w:val="000000"/>
          <w:sz w:val="24"/>
          <w:szCs w:val="24"/>
        </w:rPr>
        <w:t>,</w:t>
      </w:r>
      <w:r w:rsidR="000A4099" w:rsidRPr="000A4099">
        <w:rPr>
          <w:rFonts w:ascii="Arial" w:hAnsi="Arial" w:cs="Arial"/>
          <w:color w:val="000000"/>
          <w:sz w:val="24"/>
          <w:szCs w:val="24"/>
        </w:rPr>
        <w:t xml:space="preserve"> enmarcados en las líneas de cofinanciación, y por último los Planes Departamentales de Extensión Agropecuaria – PDEA, los cuales buscan contribuir a la generación de transformaciones sociales, productivas, tecnológicas y de innovación en los productores y territorios, para ser más productivos, competitivos y sostenibles. </w:t>
      </w:r>
    </w:p>
    <w:p w14:paraId="44D40E02" w14:textId="77777777" w:rsidR="00280AC7" w:rsidRPr="000A4099" w:rsidRDefault="00280AC7" w:rsidP="00280AC7">
      <w:pPr>
        <w:autoSpaceDE w:val="0"/>
        <w:autoSpaceDN w:val="0"/>
        <w:adjustRightInd w:val="0"/>
        <w:spacing w:line="240" w:lineRule="auto"/>
        <w:jc w:val="both"/>
        <w:rPr>
          <w:rFonts w:ascii="Trebuchet MS" w:hAnsi="Trebuchet MS" w:cs="Trebuchet MS"/>
        </w:rPr>
      </w:pPr>
    </w:p>
    <w:p w14:paraId="1D67D7E0" w14:textId="23667E30" w:rsidR="000A4099" w:rsidRDefault="000A4099" w:rsidP="006D5688">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lastRenderedPageBreak/>
        <w:t>La dinamización de la competitividad rural es un proceso que es posible des</w:t>
      </w:r>
      <w:r w:rsidR="00897F71">
        <w:rPr>
          <w:rFonts w:ascii="Arial" w:hAnsi="Arial" w:cs="Arial"/>
          <w:color w:val="000000"/>
          <w:sz w:val="24"/>
          <w:szCs w:val="24"/>
        </w:rPr>
        <w:t xml:space="preserve">arrollar </w:t>
      </w:r>
      <w:r w:rsidRPr="000A4099">
        <w:rPr>
          <w:rFonts w:ascii="Arial" w:hAnsi="Arial" w:cs="Arial"/>
          <w:color w:val="000000"/>
          <w:sz w:val="24"/>
          <w:szCs w:val="24"/>
        </w:rPr>
        <w:t xml:space="preserve">a través de diferentes estrategias articuladas de manera armónica y asociada a la aptitud agropecuaria del suelo de las regiones, </w:t>
      </w:r>
      <w:r w:rsidR="003B6AFB">
        <w:rPr>
          <w:rFonts w:ascii="Arial" w:hAnsi="Arial" w:cs="Arial"/>
          <w:color w:val="000000"/>
          <w:sz w:val="24"/>
          <w:szCs w:val="24"/>
        </w:rPr>
        <w:t xml:space="preserve">aspectos </w:t>
      </w:r>
      <w:r w:rsidRPr="000A4099">
        <w:rPr>
          <w:rFonts w:ascii="Arial" w:hAnsi="Arial" w:cs="Arial"/>
          <w:color w:val="000000"/>
          <w:sz w:val="24"/>
          <w:szCs w:val="24"/>
        </w:rPr>
        <w:t xml:space="preserve">identificados a través de los Planes Integrales de Desarrollo Agropecuario y Rural con enfoque territorial y otras herramientas de orden territorial, sobre las cuales se deben estructurar los proyectos a cofinanciar. </w:t>
      </w:r>
    </w:p>
    <w:p w14:paraId="27459AD0" w14:textId="77777777" w:rsidR="006D5688" w:rsidRPr="000A4099" w:rsidRDefault="006D5688" w:rsidP="000A4099">
      <w:pPr>
        <w:autoSpaceDE w:val="0"/>
        <w:autoSpaceDN w:val="0"/>
        <w:adjustRightInd w:val="0"/>
        <w:spacing w:line="240" w:lineRule="auto"/>
        <w:rPr>
          <w:rFonts w:ascii="Arial" w:hAnsi="Arial" w:cs="Arial"/>
          <w:color w:val="000000"/>
          <w:sz w:val="24"/>
          <w:szCs w:val="24"/>
        </w:rPr>
      </w:pPr>
    </w:p>
    <w:p w14:paraId="33D18132" w14:textId="77777777" w:rsidR="000A4099" w:rsidRDefault="000A4099" w:rsidP="00897F71">
      <w:pPr>
        <w:autoSpaceDE w:val="0"/>
        <w:autoSpaceDN w:val="0"/>
        <w:adjustRightInd w:val="0"/>
        <w:spacing w:line="240" w:lineRule="auto"/>
        <w:jc w:val="both"/>
        <w:rPr>
          <w:rFonts w:ascii="Arial" w:hAnsi="Arial" w:cs="Arial"/>
          <w:b/>
          <w:bCs/>
          <w:sz w:val="23"/>
          <w:szCs w:val="23"/>
        </w:rPr>
      </w:pPr>
      <w:r w:rsidRPr="000A4099">
        <w:rPr>
          <w:rFonts w:ascii="Arial" w:hAnsi="Arial" w:cs="Arial"/>
          <w:b/>
          <w:bCs/>
          <w:sz w:val="23"/>
          <w:szCs w:val="23"/>
        </w:rPr>
        <w:t xml:space="preserve">LÍNEA ESTRATÉGICA 2: OPTIMIZACIÓN DEL SERVICIO PÚBLICO DE ADECUACIÓN DE TIERRAS </w:t>
      </w:r>
    </w:p>
    <w:p w14:paraId="17508EC5" w14:textId="77777777" w:rsidR="00897F71" w:rsidRPr="000A4099" w:rsidRDefault="00897F71" w:rsidP="000A4099">
      <w:pPr>
        <w:autoSpaceDE w:val="0"/>
        <w:autoSpaceDN w:val="0"/>
        <w:adjustRightInd w:val="0"/>
        <w:spacing w:line="240" w:lineRule="auto"/>
        <w:rPr>
          <w:rFonts w:ascii="Arial" w:hAnsi="Arial" w:cs="Arial"/>
          <w:sz w:val="23"/>
          <w:szCs w:val="23"/>
        </w:rPr>
      </w:pPr>
    </w:p>
    <w:p w14:paraId="07562652" w14:textId="16B23CF9" w:rsidR="000A4099" w:rsidRDefault="00D8530F" w:rsidP="00D8530F">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Con relación </w:t>
      </w:r>
      <w:r w:rsidR="000A4099" w:rsidRPr="000A4099">
        <w:rPr>
          <w:rFonts w:ascii="Arial" w:hAnsi="Arial" w:cs="Arial"/>
          <w:color w:val="000000"/>
          <w:sz w:val="24"/>
          <w:szCs w:val="24"/>
        </w:rPr>
        <w:t xml:space="preserve">al área </w:t>
      </w:r>
      <w:r w:rsidR="000A4099" w:rsidRPr="00365A45">
        <w:rPr>
          <w:rFonts w:ascii="Arial" w:hAnsi="Arial" w:cs="Arial"/>
          <w:color w:val="000000"/>
          <w:sz w:val="24"/>
          <w:szCs w:val="24"/>
        </w:rPr>
        <w:t>beneficiada por el servicio público de adecuación de tierras, a la fecha existen en el país 780 distritos de adecuación de tierras de pequeña, mediana y gran escala en todo el país, que corresponden 322.955 hectáreas, beneficiando a 90.788 familias, lo cual indica que la cobertura del servicio público de adecuación de tierras, es de aproximadamente un 1,7% en relación</w:t>
      </w:r>
      <w:r w:rsidR="000A4099" w:rsidRPr="000A4099">
        <w:rPr>
          <w:rFonts w:ascii="Arial" w:hAnsi="Arial" w:cs="Arial"/>
          <w:color w:val="000000"/>
          <w:sz w:val="24"/>
          <w:szCs w:val="24"/>
        </w:rPr>
        <w:t xml:space="preserve"> con el potencial de hectáreas adecuables. </w:t>
      </w:r>
    </w:p>
    <w:p w14:paraId="4ED9CB23" w14:textId="77777777" w:rsidR="00D8530F" w:rsidRPr="000A4099" w:rsidRDefault="00D8530F" w:rsidP="00D8530F">
      <w:pPr>
        <w:autoSpaceDE w:val="0"/>
        <w:autoSpaceDN w:val="0"/>
        <w:adjustRightInd w:val="0"/>
        <w:spacing w:line="240" w:lineRule="auto"/>
        <w:jc w:val="both"/>
        <w:rPr>
          <w:rFonts w:ascii="Arial" w:hAnsi="Arial" w:cs="Arial"/>
          <w:color w:val="000000"/>
          <w:sz w:val="24"/>
          <w:szCs w:val="24"/>
        </w:rPr>
      </w:pPr>
    </w:p>
    <w:p w14:paraId="0F08D263" w14:textId="57FA6234" w:rsidR="000A4099" w:rsidRDefault="000A4099" w:rsidP="00D8530F">
      <w:pPr>
        <w:autoSpaceDE w:val="0"/>
        <w:autoSpaceDN w:val="0"/>
        <w:adjustRightInd w:val="0"/>
        <w:spacing w:line="240" w:lineRule="auto"/>
        <w:jc w:val="both"/>
        <w:rPr>
          <w:rFonts w:ascii="Arial" w:hAnsi="Arial" w:cs="Arial"/>
          <w:color w:val="000000"/>
          <w:sz w:val="24"/>
          <w:szCs w:val="24"/>
        </w:rPr>
      </w:pPr>
      <w:r w:rsidRPr="000A4099">
        <w:rPr>
          <w:rFonts w:ascii="Arial" w:hAnsi="Arial" w:cs="Arial"/>
          <w:color w:val="000000"/>
          <w:sz w:val="24"/>
          <w:szCs w:val="24"/>
        </w:rPr>
        <w:t>Con el propósito de incrementar la cobertura y mejorar la eficiencia y optimización en la prestación del servicio público de adecuación de tierras, la A</w:t>
      </w:r>
      <w:r w:rsidR="00D8530F">
        <w:rPr>
          <w:rFonts w:ascii="Arial" w:hAnsi="Arial" w:cs="Arial"/>
          <w:color w:val="000000"/>
          <w:sz w:val="24"/>
          <w:szCs w:val="24"/>
        </w:rPr>
        <w:t>DR</w:t>
      </w:r>
      <w:r w:rsidRPr="000A4099">
        <w:rPr>
          <w:rFonts w:ascii="Arial" w:hAnsi="Arial" w:cs="Arial"/>
          <w:color w:val="000000"/>
          <w:sz w:val="24"/>
          <w:szCs w:val="24"/>
        </w:rPr>
        <w:t xml:space="preserve"> dará cumplimiento a las líneas de acción establecidas en el CONPES 3926 de 2018, tales como: </w:t>
      </w:r>
    </w:p>
    <w:p w14:paraId="51A1A8C3" w14:textId="77777777" w:rsidR="00D8530F" w:rsidRPr="000A4099" w:rsidRDefault="00D8530F" w:rsidP="00D8530F">
      <w:pPr>
        <w:autoSpaceDE w:val="0"/>
        <w:autoSpaceDN w:val="0"/>
        <w:adjustRightInd w:val="0"/>
        <w:spacing w:line="240" w:lineRule="auto"/>
        <w:jc w:val="both"/>
        <w:rPr>
          <w:rFonts w:ascii="Arial" w:hAnsi="Arial" w:cs="Arial"/>
          <w:color w:val="000000"/>
          <w:sz w:val="24"/>
          <w:szCs w:val="24"/>
        </w:rPr>
      </w:pPr>
    </w:p>
    <w:p w14:paraId="607BD516" w14:textId="3294D166"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 xml:space="preserve">1) </w:t>
      </w:r>
      <w:r w:rsidR="000A4099" w:rsidRPr="000A4099">
        <w:rPr>
          <w:rFonts w:ascii="Arial" w:hAnsi="Arial" w:cs="Arial"/>
          <w:color w:val="000000"/>
          <w:sz w:val="24"/>
          <w:szCs w:val="24"/>
        </w:rPr>
        <w:t xml:space="preserve">Diagnóstico de los distritos de primera generación. </w:t>
      </w:r>
    </w:p>
    <w:p w14:paraId="09AAA4E2" w14:textId="590F1491"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 xml:space="preserve">2) </w:t>
      </w:r>
      <w:r w:rsidR="000A4099" w:rsidRPr="000A4099">
        <w:rPr>
          <w:rFonts w:ascii="Arial" w:hAnsi="Arial" w:cs="Arial"/>
          <w:color w:val="000000"/>
          <w:sz w:val="24"/>
          <w:szCs w:val="24"/>
        </w:rPr>
        <w:t xml:space="preserve"> Implementación del Sistema de Información de Adecuación de Tierras. </w:t>
      </w:r>
    </w:p>
    <w:p w14:paraId="72841730" w14:textId="0BC6426A"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 xml:space="preserve">3) </w:t>
      </w:r>
      <w:r w:rsidR="000A4099" w:rsidRPr="000A4099">
        <w:rPr>
          <w:rFonts w:ascii="Arial" w:hAnsi="Arial" w:cs="Arial"/>
          <w:color w:val="000000"/>
          <w:sz w:val="24"/>
          <w:szCs w:val="24"/>
        </w:rPr>
        <w:t xml:space="preserve">Proyectos de optimización de distritos de primera generación, a partir de criterios de priorización y programación de inversiones. </w:t>
      </w:r>
    </w:p>
    <w:p w14:paraId="507A8944" w14:textId="7A258089"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4)</w:t>
      </w:r>
      <w:r w:rsidR="000A4099" w:rsidRPr="000A4099">
        <w:rPr>
          <w:rFonts w:ascii="Arial" w:hAnsi="Arial" w:cs="Arial"/>
          <w:color w:val="000000"/>
          <w:sz w:val="24"/>
          <w:szCs w:val="24"/>
        </w:rPr>
        <w:t xml:space="preserve"> Elaboración de la hoja de ruta para la culminación progresiva de los Proyectos de Importancia Estratégica. </w:t>
      </w:r>
    </w:p>
    <w:p w14:paraId="07F0E739" w14:textId="43875D65"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5)</w:t>
      </w:r>
      <w:r w:rsidR="000A4099" w:rsidRPr="000A4099">
        <w:rPr>
          <w:rFonts w:ascii="Arial" w:hAnsi="Arial" w:cs="Arial"/>
          <w:color w:val="000000"/>
          <w:sz w:val="24"/>
          <w:szCs w:val="24"/>
        </w:rPr>
        <w:t xml:space="preserve"> Culminación de obras del proyecto Triángulo del Tolima. </w:t>
      </w:r>
    </w:p>
    <w:p w14:paraId="3FE3304D" w14:textId="30C18CAF"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6)</w:t>
      </w:r>
      <w:r w:rsidR="000A4099" w:rsidRPr="000A4099">
        <w:rPr>
          <w:rFonts w:ascii="Arial" w:hAnsi="Arial" w:cs="Arial"/>
          <w:color w:val="000000"/>
          <w:sz w:val="24"/>
          <w:szCs w:val="24"/>
        </w:rPr>
        <w:t xml:space="preserve"> Culminación de obras del proyecto multipropósito Río Ranchería (La Guajira). </w:t>
      </w:r>
    </w:p>
    <w:p w14:paraId="09C0D577" w14:textId="67465E17" w:rsidR="000A4099" w:rsidRPr="000A4099" w:rsidRDefault="00D8530F" w:rsidP="00D8530F">
      <w:pPr>
        <w:autoSpaceDE w:val="0"/>
        <w:autoSpaceDN w:val="0"/>
        <w:adjustRightInd w:val="0"/>
        <w:spacing w:after="38" w:line="240" w:lineRule="auto"/>
        <w:jc w:val="both"/>
        <w:rPr>
          <w:rFonts w:ascii="Arial" w:hAnsi="Arial" w:cs="Arial"/>
          <w:color w:val="000000"/>
          <w:sz w:val="24"/>
          <w:szCs w:val="24"/>
        </w:rPr>
      </w:pPr>
      <w:r>
        <w:rPr>
          <w:rFonts w:ascii="Arial" w:hAnsi="Arial" w:cs="Arial"/>
          <w:color w:val="000000"/>
          <w:sz w:val="24"/>
          <w:szCs w:val="24"/>
        </w:rPr>
        <w:t>7)</w:t>
      </w:r>
      <w:r w:rsidR="000A4099" w:rsidRPr="000A4099">
        <w:rPr>
          <w:rFonts w:ascii="Arial" w:hAnsi="Arial" w:cs="Arial"/>
          <w:color w:val="000000"/>
          <w:sz w:val="24"/>
          <w:szCs w:val="24"/>
        </w:rPr>
        <w:t xml:space="preserve"> Culminación de obras del proyecto Tesalia -Paicol (Huila). </w:t>
      </w:r>
    </w:p>
    <w:p w14:paraId="45C9E164" w14:textId="42CB441A" w:rsidR="000A4099" w:rsidRPr="000A4099" w:rsidRDefault="00D8530F" w:rsidP="00D8530F">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8)</w:t>
      </w:r>
      <w:r w:rsidR="000A4099" w:rsidRPr="000A4099">
        <w:rPr>
          <w:rFonts w:ascii="Arial" w:hAnsi="Arial" w:cs="Arial"/>
          <w:color w:val="000000"/>
          <w:sz w:val="24"/>
          <w:szCs w:val="24"/>
        </w:rPr>
        <w:t xml:space="preserve"> Ampliación de la cobertura del servicio de ADT. </w:t>
      </w:r>
    </w:p>
    <w:p w14:paraId="09351955" w14:textId="1534D028" w:rsidR="00D8530F" w:rsidRPr="00D8530F" w:rsidRDefault="00D8530F" w:rsidP="00D8530F">
      <w:pPr>
        <w:autoSpaceDE w:val="0"/>
        <w:autoSpaceDN w:val="0"/>
        <w:adjustRightInd w:val="0"/>
        <w:spacing w:after="50" w:line="240" w:lineRule="auto"/>
        <w:rPr>
          <w:rFonts w:ascii="Arial" w:hAnsi="Arial" w:cs="Arial"/>
          <w:color w:val="000000"/>
          <w:sz w:val="24"/>
          <w:szCs w:val="24"/>
        </w:rPr>
      </w:pPr>
      <w:r w:rsidRPr="00D8530F">
        <w:rPr>
          <w:rFonts w:ascii="Arial" w:hAnsi="Arial" w:cs="Arial"/>
          <w:color w:val="000000"/>
          <w:sz w:val="24"/>
          <w:szCs w:val="24"/>
        </w:rPr>
        <w:t xml:space="preserve">9) Adopción de un modelo de cofinanciación con entidades territoriales para el desarrollo de proyectos de ADT. </w:t>
      </w:r>
    </w:p>
    <w:p w14:paraId="55199623" w14:textId="5269E525" w:rsidR="00D8530F" w:rsidRPr="00D8530F" w:rsidRDefault="00D8530F" w:rsidP="00D8530F">
      <w:pPr>
        <w:autoSpaceDE w:val="0"/>
        <w:autoSpaceDN w:val="0"/>
        <w:adjustRightInd w:val="0"/>
        <w:spacing w:line="240" w:lineRule="auto"/>
        <w:rPr>
          <w:rFonts w:ascii="Trebuchet MS" w:hAnsi="Trebuchet MS" w:cs="Trebuchet MS"/>
          <w:color w:val="000000"/>
        </w:rPr>
      </w:pPr>
      <w:r>
        <w:rPr>
          <w:rFonts w:ascii="Arial" w:hAnsi="Arial" w:cs="Arial"/>
          <w:color w:val="000000"/>
          <w:sz w:val="24"/>
          <w:szCs w:val="24"/>
        </w:rPr>
        <w:t>10)</w:t>
      </w:r>
      <w:r w:rsidRPr="00D8530F">
        <w:rPr>
          <w:rFonts w:ascii="Arial" w:hAnsi="Arial" w:cs="Arial"/>
          <w:b/>
          <w:bCs/>
          <w:color w:val="000000"/>
          <w:sz w:val="26"/>
          <w:szCs w:val="26"/>
        </w:rPr>
        <w:t xml:space="preserve"> </w:t>
      </w:r>
      <w:r w:rsidRPr="00D8530F">
        <w:rPr>
          <w:rFonts w:ascii="Trebuchet MS" w:hAnsi="Trebuchet MS" w:cs="Trebuchet MS"/>
          <w:color w:val="000000"/>
        </w:rPr>
        <w:t xml:space="preserve">Programa de fortalecimiento y acompañamiento para las asociaciones de usuarios. </w:t>
      </w:r>
    </w:p>
    <w:p w14:paraId="496AC320" w14:textId="0E057CB4" w:rsidR="000A4099" w:rsidRPr="000A4099" w:rsidRDefault="000A4099" w:rsidP="00D8530F">
      <w:pPr>
        <w:autoSpaceDE w:val="0"/>
        <w:autoSpaceDN w:val="0"/>
        <w:adjustRightInd w:val="0"/>
        <w:spacing w:line="240" w:lineRule="auto"/>
        <w:jc w:val="both"/>
        <w:rPr>
          <w:rFonts w:ascii="Arial" w:hAnsi="Arial" w:cs="Arial"/>
          <w:color w:val="000000"/>
          <w:sz w:val="24"/>
          <w:szCs w:val="24"/>
        </w:rPr>
      </w:pPr>
    </w:p>
    <w:p w14:paraId="1FCC6DC8" w14:textId="77777777" w:rsidR="000A4099" w:rsidRPr="000A4099" w:rsidRDefault="000A4099" w:rsidP="000A4099">
      <w:pPr>
        <w:pageBreakBefore/>
        <w:autoSpaceDE w:val="0"/>
        <w:autoSpaceDN w:val="0"/>
        <w:adjustRightInd w:val="0"/>
        <w:spacing w:line="240" w:lineRule="auto"/>
        <w:rPr>
          <w:rFonts w:ascii="Arial" w:hAnsi="Arial" w:cs="Arial"/>
          <w:sz w:val="24"/>
          <w:szCs w:val="24"/>
        </w:rPr>
      </w:pPr>
    </w:p>
    <w:p w14:paraId="3B94F407" w14:textId="4017281C" w:rsidR="000A4099" w:rsidRPr="004B5F80"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 xml:space="preserve">Lo anterior, en concordancia con el Plan Nacional de Riego, instrumento a través del cual se le dará operatividad a la política trazada en el documento CONPES mencionado, en el cual se definen unos objetivos a corto (4 años), mediano (8 años) y largo (20 años) plazo, estructurado en las siguientes estrategias: (i) gestión de la información; (ii) incremento de la productividad y competitividad; (iii) ampliación de la cobertura; (iv) rehabilitación y entrega de distritos de riego; (v) entrada gradual en operación de proyectos de construcción (Tesalia, Ranchería y Triangulo del Tolima). </w:t>
      </w:r>
    </w:p>
    <w:p w14:paraId="70F30631" w14:textId="77777777" w:rsidR="004B5F80" w:rsidRPr="000A4099" w:rsidRDefault="004B5F80" w:rsidP="004B5F80">
      <w:pPr>
        <w:autoSpaceDE w:val="0"/>
        <w:autoSpaceDN w:val="0"/>
        <w:adjustRightInd w:val="0"/>
        <w:spacing w:line="240" w:lineRule="auto"/>
        <w:jc w:val="both"/>
        <w:rPr>
          <w:rFonts w:ascii="Arial" w:hAnsi="Arial" w:cs="Arial"/>
          <w:sz w:val="24"/>
          <w:szCs w:val="24"/>
        </w:rPr>
      </w:pPr>
    </w:p>
    <w:p w14:paraId="5C6295B2" w14:textId="77777777" w:rsidR="000A4099" w:rsidRDefault="000A4099" w:rsidP="004B5F80">
      <w:pPr>
        <w:autoSpaceDE w:val="0"/>
        <w:autoSpaceDN w:val="0"/>
        <w:adjustRightInd w:val="0"/>
        <w:spacing w:line="240" w:lineRule="auto"/>
        <w:jc w:val="both"/>
        <w:rPr>
          <w:rFonts w:ascii="Arial" w:hAnsi="Arial" w:cs="Arial"/>
          <w:b/>
          <w:bCs/>
          <w:sz w:val="24"/>
          <w:szCs w:val="24"/>
        </w:rPr>
      </w:pPr>
      <w:r w:rsidRPr="000A4099">
        <w:rPr>
          <w:rFonts w:ascii="Arial" w:hAnsi="Arial" w:cs="Arial"/>
          <w:b/>
          <w:bCs/>
          <w:sz w:val="24"/>
          <w:szCs w:val="24"/>
        </w:rPr>
        <w:t xml:space="preserve">LÍNEA ESTRATÉGICA 3: FORTALECIMIENTO DE CAPACIDADES INSTITUCIONALES </w:t>
      </w:r>
    </w:p>
    <w:p w14:paraId="62A43373" w14:textId="77777777" w:rsidR="004B5F80" w:rsidRPr="000A4099" w:rsidRDefault="004B5F80" w:rsidP="004B5F80">
      <w:pPr>
        <w:autoSpaceDE w:val="0"/>
        <w:autoSpaceDN w:val="0"/>
        <w:adjustRightInd w:val="0"/>
        <w:spacing w:line="240" w:lineRule="auto"/>
        <w:jc w:val="both"/>
        <w:rPr>
          <w:rFonts w:ascii="Arial" w:hAnsi="Arial" w:cs="Arial"/>
          <w:sz w:val="24"/>
          <w:szCs w:val="24"/>
        </w:rPr>
      </w:pPr>
    </w:p>
    <w:p w14:paraId="4D15AFBF" w14:textId="221B137C" w:rsid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Para cumplir con el objeto para la cual fue creada la ADR, es necesario fortalecer los procesos internos y sus sistemas de gestión en el marco del Modelo Inte</w:t>
      </w:r>
      <w:r w:rsidR="008C4ABD">
        <w:rPr>
          <w:rFonts w:ascii="Arial" w:hAnsi="Arial" w:cs="Arial"/>
          <w:sz w:val="24"/>
          <w:szCs w:val="24"/>
        </w:rPr>
        <w:t>grado de Planeación y Gestión (</w:t>
      </w:r>
      <w:r w:rsidRPr="000A4099">
        <w:rPr>
          <w:rFonts w:ascii="Arial" w:hAnsi="Arial" w:cs="Arial"/>
          <w:sz w:val="24"/>
          <w:szCs w:val="24"/>
        </w:rPr>
        <w:t>MIPG</w:t>
      </w:r>
      <w:r w:rsidR="008C4ABD">
        <w:rPr>
          <w:rFonts w:ascii="Arial" w:hAnsi="Arial" w:cs="Arial"/>
          <w:sz w:val="24"/>
          <w:szCs w:val="24"/>
        </w:rPr>
        <w:t>)</w:t>
      </w:r>
      <w:r w:rsidRPr="000A4099">
        <w:rPr>
          <w:rFonts w:ascii="Arial" w:hAnsi="Arial" w:cs="Arial"/>
          <w:sz w:val="24"/>
          <w:szCs w:val="24"/>
        </w:rPr>
        <w:t xml:space="preserve">, adoptado por el Decreto 1499 de 2017, con el fin de mejorar su capacidad administrativa. </w:t>
      </w:r>
    </w:p>
    <w:p w14:paraId="09044715" w14:textId="77777777" w:rsidR="008C4ABD" w:rsidRPr="000A4099" w:rsidRDefault="008C4ABD" w:rsidP="004B5F80">
      <w:pPr>
        <w:autoSpaceDE w:val="0"/>
        <w:autoSpaceDN w:val="0"/>
        <w:adjustRightInd w:val="0"/>
        <w:spacing w:line="240" w:lineRule="auto"/>
        <w:jc w:val="both"/>
        <w:rPr>
          <w:rFonts w:ascii="Arial" w:hAnsi="Arial" w:cs="Arial"/>
          <w:sz w:val="24"/>
          <w:szCs w:val="24"/>
        </w:rPr>
      </w:pPr>
    </w:p>
    <w:p w14:paraId="5404034F" w14:textId="100604D9" w:rsidR="000A4099" w:rsidRDefault="008C4ABD" w:rsidP="004B5F80">
      <w:pPr>
        <w:autoSpaceDE w:val="0"/>
        <w:autoSpaceDN w:val="0"/>
        <w:adjustRightInd w:val="0"/>
        <w:spacing w:line="240" w:lineRule="auto"/>
        <w:jc w:val="both"/>
        <w:rPr>
          <w:rFonts w:ascii="Arial" w:hAnsi="Arial" w:cs="Arial"/>
          <w:sz w:val="24"/>
          <w:szCs w:val="24"/>
        </w:rPr>
      </w:pPr>
      <w:r>
        <w:rPr>
          <w:rFonts w:ascii="Arial" w:hAnsi="Arial" w:cs="Arial"/>
          <w:sz w:val="24"/>
          <w:szCs w:val="24"/>
        </w:rPr>
        <w:t>Es a través de este Modelo</w:t>
      </w:r>
      <w:r w:rsidR="000A4099" w:rsidRPr="000A4099">
        <w:rPr>
          <w:rFonts w:ascii="Arial" w:hAnsi="Arial" w:cs="Arial"/>
          <w:sz w:val="24"/>
          <w:szCs w:val="24"/>
        </w:rPr>
        <w:t xml:space="preserve"> que la gerencia pública moderna y eficiente busca el mejoramiento continuo, basado entre otros aspectos, en el fortalecimiento de herramientas de gestión y en la coordinación interinstitucional que facilitan la implementación de las políticas públicas mediante la ejecución de los planes, los programas y los proyectos. </w:t>
      </w:r>
    </w:p>
    <w:p w14:paraId="51F4BAB1" w14:textId="77777777" w:rsidR="008C4ABD" w:rsidRPr="000A4099" w:rsidRDefault="008C4ABD" w:rsidP="004B5F80">
      <w:pPr>
        <w:autoSpaceDE w:val="0"/>
        <w:autoSpaceDN w:val="0"/>
        <w:adjustRightInd w:val="0"/>
        <w:spacing w:line="240" w:lineRule="auto"/>
        <w:jc w:val="both"/>
        <w:rPr>
          <w:rFonts w:ascii="Arial" w:hAnsi="Arial" w:cs="Arial"/>
          <w:sz w:val="24"/>
          <w:szCs w:val="24"/>
        </w:rPr>
      </w:pPr>
    </w:p>
    <w:p w14:paraId="38FFCE22" w14:textId="20E694E9" w:rsid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Este mejoramiento se reflejará en la medida en que se le p</w:t>
      </w:r>
      <w:r w:rsidR="008C4ABD">
        <w:rPr>
          <w:rFonts w:ascii="Arial" w:hAnsi="Arial" w:cs="Arial"/>
          <w:sz w:val="24"/>
          <w:szCs w:val="24"/>
        </w:rPr>
        <w:t>roporcione a la población rural</w:t>
      </w:r>
      <w:r w:rsidRPr="000A4099">
        <w:rPr>
          <w:rFonts w:ascii="Arial" w:hAnsi="Arial" w:cs="Arial"/>
          <w:sz w:val="24"/>
          <w:szCs w:val="24"/>
        </w:rPr>
        <w:t xml:space="preserve"> los bienes y servicios que necesitan y su atención oportuna, ya que las entidades requieren que desde la planeación se trace el camino de la gestión institucional con principios de eficiencia y eficacia y que los colaboradores de los diferentes niveles y áreas de la entidad se sientan involucrados en el logro de las metas establecidas. </w:t>
      </w:r>
    </w:p>
    <w:p w14:paraId="48EB7813" w14:textId="77777777" w:rsidR="008C4ABD" w:rsidRPr="000A4099" w:rsidRDefault="008C4ABD" w:rsidP="004B5F80">
      <w:pPr>
        <w:autoSpaceDE w:val="0"/>
        <w:autoSpaceDN w:val="0"/>
        <w:adjustRightInd w:val="0"/>
        <w:spacing w:line="240" w:lineRule="auto"/>
        <w:jc w:val="both"/>
        <w:rPr>
          <w:rFonts w:ascii="Arial" w:hAnsi="Arial" w:cs="Arial"/>
          <w:sz w:val="24"/>
          <w:szCs w:val="24"/>
        </w:rPr>
      </w:pPr>
    </w:p>
    <w:p w14:paraId="4893BF6C" w14:textId="7CA3379A" w:rsidR="000A4099" w:rsidRDefault="00E721DD" w:rsidP="00E721DD">
      <w:pPr>
        <w:autoSpaceDE w:val="0"/>
        <w:autoSpaceDN w:val="0"/>
        <w:adjustRightInd w:val="0"/>
        <w:spacing w:line="240" w:lineRule="auto"/>
        <w:jc w:val="both"/>
        <w:rPr>
          <w:rFonts w:ascii="Arial" w:hAnsi="Arial" w:cs="Arial"/>
          <w:sz w:val="24"/>
          <w:szCs w:val="24"/>
        </w:rPr>
      </w:pPr>
      <w:r>
        <w:rPr>
          <w:rFonts w:ascii="Arial" w:hAnsi="Arial" w:cs="Arial"/>
          <w:sz w:val="24"/>
          <w:szCs w:val="24"/>
        </w:rPr>
        <w:t>Y es en este marco estratégico, que</w:t>
      </w:r>
      <w:r w:rsidR="000A4099" w:rsidRPr="000A4099">
        <w:rPr>
          <w:rFonts w:ascii="Arial" w:hAnsi="Arial" w:cs="Arial"/>
          <w:sz w:val="24"/>
          <w:szCs w:val="24"/>
        </w:rPr>
        <w:t xml:space="preserve"> se dio inicio a un trabajo articulado con las dependencias, para la formulación del Plan de Acción I</w:t>
      </w:r>
      <w:r>
        <w:rPr>
          <w:rFonts w:ascii="Arial" w:hAnsi="Arial" w:cs="Arial"/>
          <w:sz w:val="24"/>
          <w:szCs w:val="24"/>
        </w:rPr>
        <w:t>nstitucional de la vigencia 2020</w:t>
      </w:r>
      <w:r w:rsidR="000A4099" w:rsidRPr="000A4099">
        <w:rPr>
          <w:rFonts w:ascii="Arial" w:hAnsi="Arial" w:cs="Arial"/>
          <w:sz w:val="24"/>
          <w:szCs w:val="24"/>
        </w:rPr>
        <w:t xml:space="preserve">, el cual no está exento de modificaciones relacionadas principalmente con temas normativos y presupuestales. </w:t>
      </w:r>
    </w:p>
    <w:p w14:paraId="1C98FB4B" w14:textId="77777777" w:rsidR="00E721DD" w:rsidRPr="000A4099" w:rsidRDefault="00E721DD" w:rsidP="00E721DD">
      <w:pPr>
        <w:autoSpaceDE w:val="0"/>
        <w:autoSpaceDN w:val="0"/>
        <w:adjustRightInd w:val="0"/>
        <w:spacing w:line="240" w:lineRule="auto"/>
        <w:jc w:val="both"/>
        <w:rPr>
          <w:rFonts w:ascii="Arial" w:hAnsi="Arial" w:cs="Arial"/>
          <w:sz w:val="24"/>
          <w:szCs w:val="24"/>
        </w:rPr>
      </w:pPr>
    </w:p>
    <w:p w14:paraId="7FF8C4D4" w14:textId="667C5A2E" w:rsidR="000A4099" w:rsidRDefault="000A4099" w:rsidP="00E721DD">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Para la presente vigencia se está haciendo seguimiento a través de</w:t>
      </w:r>
      <w:r w:rsidR="003B6AFB">
        <w:rPr>
          <w:rFonts w:ascii="Arial" w:hAnsi="Arial" w:cs="Arial"/>
          <w:sz w:val="24"/>
          <w:szCs w:val="24"/>
        </w:rPr>
        <w:t xml:space="preserve"> la plataforma que a</w:t>
      </w:r>
      <w:r w:rsidR="003B6AFB" w:rsidRPr="003B6AFB">
        <w:rPr>
          <w:rFonts w:ascii="Arial" w:hAnsi="Arial" w:cs="Arial"/>
          <w:sz w:val="24"/>
          <w:szCs w:val="24"/>
        </w:rPr>
        <w:t>dministrar y mant</w:t>
      </w:r>
      <w:r w:rsidR="003B6AFB">
        <w:rPr>
          <w:rFonts w:ascii="Arial" w:hAnsi="Arial" w:cs="Arial"/>
          <w:sz w:val="24"/>
          <w:szCs w:val="24"/>
        </w:rPr>
        <w:t xml:space="preserve">iene el </w:t>
      </w:r>
      <w:r w:rsidR="003B6AFB" w:rsidRPr="003B6AFB">
        <w:rPr>
          <w:rFonts w:ascii="Arial" w:hAnsi="Arial" w:cs="Arial"/>
          <w:sz w:val="24"/>
          <w:szCs w:val="24"/>
        </w:rPr>
        <w:t>Modelos de Gestión de la Calidad en las organizaciones y entidades del Estado</w:t>
      </w:r>
      <w:r w:rsidR="003B6AFB">
        <w:rPr>
          <w:rFonts w:ascii="Arial" w:hAnsi="Arial" w:cs="Arial"/>
          <w:sz w:val="24"/>
          <w:szCs w:val="24"/>
        </w:rPr>
        <w:t xml:space="preserve"> –</w:t>
      </w:r>
      <w:r w:rsidRPr="000A4099">
        <w:rPr>
          <w:rFonts w:ascii="Arial" w:hAnsi="Arial" w:cs="Arial"/>
          <w:sz w:val="24"/>
          <w:szCs w:val="24"/>
        </w:rPr>
        <w:t xml:space="preserve"> </w:t>
      </w:r>
      <w:proofErr w:type="spellStart"/>
      <w:r w:rsidRPr="000A4099">
        <w:rPr>
          <w:rFonts w:ascii="Arial" w:hAnsi="Arial" w:cs="Arial"/>
          <w:sz w:val="24"/>
          <w:szCs w:val="24"/>
        </w:rPr>
        <w:t>Isolucion</w:t>
      </w:r>
      <w:proofErr w:type="spellEnd"/>
      <w:r w:rsidR="003B6AFB">
        <w:rPr>
          <w:rFonts w:ascii="Arial" w:hAnsi="Arial" w:cs="Arial"/>
          <w:sz w:val="24"/>
          <w:szCs w:val="24"/>
        </w:rPr>
        <w:t xml:space="preserve">, </w:t>
      </w:r>
      <w:r w:rsidRPr="000A4099">
        <w:rPr>
          <w:rFonts w:ascii="Arial" w:hAnsi="Arial" w:cs="Arial"/>
          <w:sz w:val="24"/>
          <w:szCs w:val="24"/>
        </w:rPr>
        <w:t xml:space="preserve"> en su módulo de Planeación. Ésta herramienta permite identificar los </w:t>
      </w:r>
      <w:r w:rsidR="00E721DD">
        <w:rPr>
          <w:rFonts w:ascii="Arial" w:hAnsi="Arial" w:cs="Arial"/>
          <w:sz w:val="24"/>
          <w:szCs w:val="24"/>
        </w:rPr>
        <w:t xml:space="preserve">avances, el estado del reporte, </w:t>
      </w:r>
      <w:r w:rsidRPr="000A4099">
        <w:rPr>
          <w:rFonts w:ascii="Arial" w:hAnsi="Arial" w:cs="Arial"/>
          <w:sz w:val="24"/>
          <w:szCs w:val="24"/>
        </w:rPr>
        <w:t xml:space="preserve">adjuntar evidencias y formular acciones de mejora para dar cumplimiento a actividades que pueden llegar a no cumplirse en las fechas inicialmente programadas. </w:t>
      </w:r>
    </w:p>
    <w:p w14:paraId="2223FFD7" w14:textId="77777777" w:rsidR="00E721DD" w:rsidRPr="000A4099" w:rsidRDefault="00E721DD" w:rsidP="00E721DD">
      <w:pPr>
        <w:autoSpaceDE w:val="0"/>
        <w:autoSpaceDN w:val="0"/>
        <w:adjustRightInd w:val="0"/>
        <w:spacing w:line="240" w:lineRule="auto"/>
        <w:jc w:val="both"/>
        <w:rPr>
          <w:rFonts w:ascii="Arial" w:hAnsi="Arial" w:cs="Arial"/>
          <w:sz w:val="24"/>
          <w:szCs w:val="24"/>
        </w:rPr>
      </w:pPr>
    </w:p>
    <w:p w14:paraId="05A40788" w14:textId="4E654290" w:rsid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sz w:val="24"/>
          <w:szCs w:val="24"/>
        </w:rPr>
        <w:t>En este sentido, el informe presenta el estado de avance por Línea estratégica, aclarando que el P</w:t>
      </w:r>
      <w:r w:rsidR="00E721DD">
        <w:rPr>
          <w:rFonts w:ascii="Arial" w:hAnsi="Arial" w:cs="Arial"/>
          <w:sz w:val="24"/>
          <w:szCs w:val="24"/>
        </w:rPr>
        <w:t xml:space="preserve">lan de Acción </w:t>
      </w:r>
      <w:r w:rsidR="003B6AFB">
        <w:rPr>
          <w:rFonts w:ascii="Arial" w:hAnsi="Arial" w:cs="Arial"/>
          <w:sz w:val="24"/>
          <w:szCs w:val="24"/>
        </w:rPr>
        <w:t xml:space="preserve">Institucional </w:t>
      </w:r>
      <w:r w:rsidR="00E721DD">
        <w:rPr>
          <w:rFonts w:ascii="Arial" w:hAnsi="Arial" w:cs="Arial"/>
          <w:sz w:val="24"/>
          <w:szCs w:val="24"/>
        </w:rPr>
        <w:t xml:space="preserve">de esta vigencia, </w:t>
      </w:r>
      <w:r w:rsidRPr="000A4099">
        <w:rPr>
          <w:rFonts w:ascii="Arial" w:hAnsi="Arial" w:cs="Arial"/>
          <w:sz w:val="24"/>
          <w:szCs w:val="24"/>
        </w:rPr>
        <w:t xml:space="preserve">se estructuró en cuatro Objetivos Estratégicos, así: </w:t>
      </w:r>
    </w:p>
    <w:p w14:paraId="6F904EB0" w14:textId="77777777" w:rsidR="00E721DD" w:rsidRPr="000A4099" w:rsidRDefault="00E721DD" w:rsidP="004B5F80">
      <w:pPr>
        <w:autoSpaceDE w:val="0"/>
        <w:autoSpaceDN w:val="0"/>
        <w:adjustRightInd w:val="0"/>
        <w:spacing w:line="240" w:lineRule="auto"/>
        <w:jc w:val="both"/>
        <w:rPr>
          <w:rFonts w:ascii="Arial" w:hAnsi="Arial" w:cs="Arial"/>
          <w:sz w:val="24"/>
          <w:szCs w:val="24"/>
        </w:rPr>
      </w:pPr>
    </w:p>
    <w:p w14:paraId="00C1B278" w14:textId="77777777" w:rsidR="000A4099" w:rsidRDefault="000A4099" w:rsidP="004B5F80">
      <w:pPr>
        <w:autoSpaceDE w:val="0"/>
        <w:autoSpaceDN w:val="0"/>
        <w:adjustRightInd w:val="0"/>
        <w:spacing w:line="240" w:lineRule="auto"/>
        <w:jc w:val="both"/>
        <w:rPr>
          <w:rFonts w:ascii="Arial" w:hAnsi="Arial" w:cs="Arial"/>
          <w:b/>
          <w:bCs/>
          <w:sz w:val="24"/>
          <w:szCs w:val="24"/>
        </w:rPr>
      </w:pPr>
      <w:r w:rsidRPr="000A4099">
        <w:rPr>
          <w:rFonts w:ascii="Arial" w:hAnsi="Arial" w:cs="Arial"/>
          <w:b/>
          <w:bCs/>
          <w:sz w:val="24"/>
          <w:szCs w:val="24"/>
        </w:rPr>
        <w:t xml:space="preserve">Línea Estratégica 1: Dinamización de la competitividad rural </w:t>
      </w:r>
    </w:p>
    <w:p w14:paraId="5AFEE86A" w14:textId="77777777" w:rsidR="002323DF" w:rsidRPr="000A4099" w:rsidRDefault="002323DF" w:rsidP="004B5F80">
      <w:pPr>
        <w:autoSpaceDE w:val="0"/>
        <w:autoSpaceDN w:val="0"/>
        <w:adjustRightInd w:val="0"/>
        <w:spacing w:line="240" w:lineRule="auto"/>
        <w:jc w:val="both"/>
        <w:rPr>
          <w:rFonts w:ascii="Arial" w:hAnsi="Arial" w:cs="Arial"/>
          <w:sz w:val="24"/>
          <w:szCs w:val="24"/>
        </w:rPr>
      </w:pPr>
    </w:p>
    <w:p w14:paraId="21E852B4" w14:textId="00271848" w:rsidR="000A4099" w:rsidRPr="002323DF" w:rsidRDefault="000A4099" w:rsidP="002323DF">
      <w:pPr>
        <w:pStyle w:val="Prrafodelista"/>
        <w:numPr>
          <w:ilvl w:val="0"/>
          <w:numId w:val="12"/>
        </w:numPr>
        <w:rPr>
          <w:rFonts w:ascii="Arial" w:hAnsi="Arial" w:cs="Arial"/>
          <w:sz w:val="24"/>
          <w:szCs w:val="24"/>
        </w:rPr>
      </w:pPr>
      <w:r w:rsidRPr="002323DF">
        <w:rPr>
          <w:rFonts w:ascii="Arial" w:hAnsi="Arial" w:cs="Arial"/>
          <w:b/>
          <w:bCs/>
          <w:sz w:val="24"/>
          <w:szCs w:val="24"/>
        </w:rPr>
        <w:t xml:space="preserve">Objetivo estratégico 1: </w:t>
      </w:r>
      <w:r w:rsidRPr="002323DF">
        <w:rPr>
          <w:rFonts w:ascii="Arial" w:hAnsi="Arial" w:cs="Arial"/>
          <w:sz w:val="24"/>
          <w:szCs w:val="24"/>
        </w:rPr>
        <w:t xml:space="preserve">Promover el desarrollo de capacidades para la generación sostenible de ingresos en la comunidad rural, a partir de la realización de intervenciones efectivas y acordes con la aptitud agropecuaria de los territorios. </w:t>
      </w:r>
    </w:p>
    <w:p w14:paraId="68B98434" w14:textId="77777777" w:rsidR="000A4099" w:rsidRPr="000A4099" w:rsidRDefault="000A4099" w:rsidP="004B5F80">
      <w:pPr>
        <w:autoSpaceDE w:val="0"/>
        <w:autoSpaceDN w:val="0"/>
        <w:adjustRightInd w:val="0"/>
        <w:spacing w:line="240" w:lineRule="auto"/>
        <w:jc w:val="both"/>
        <w:rPr>
          <w:rFonts w:ascii="Arial" w:hAnsi="Arial" w:cs="Arial"/>
          <w:sz w:val="24"/>
          <w:szCs w:val="24"/>
        </w:rPr>
      </w:pPr>
    </w:p>
    <w:p w14:paraId="3011A8CE" w14:textId="5F92E60E" w:rsidR="000A4099" w:rsidRPr="002323DF" w:rsidRDefault="000A4099" w:rsidP="002323DF">
      <w:pPr>
        <w:pStyle w:val="Prrafodelista"/>
        <w:numPr>
          <w:ilvl w:val="0"/>
          <w:numId w:val="12"/>
        </w:numPr>
        <w:rPr>
          <w:rFonts w:ascii="Arial" w:hAnsi="Arial" w:cs="Arial"/>
          <w:sz w:val="24"/>
          <w:szCs w:val="24"/>
        </w:rPr>
      </w:pPr>
      <w:r w:rsidRPr="002323DF">
        <w:rPr>
          <w:rFonts w:ascii="Arial" w:hAnsi="Arial" w:cs="Arial"/>
          <w:b/>
          <w:bCs/>
          <w:sz w:val="24"/>
          <w:szCs w:val="24"/>
        </w:rPr>
        <w:t xml:space="preserve">Objetivo estratégico 2: </w:t>
      </w:r>
      <w:r w:rsidRPr="002323DF">
        <w:rPr>
          <w:rFonts w:ascii="Arial" w:hAnsi="Arial" w:cs="Arial"/>
          <w:sz w:val="24"/>
          <w:szCs w:val="24"/>
        </w:rPr>
        <w:t xml:space="preserve">Fortalecer la productividad y competitividad de las cadenas de valor y sistemas productivos del sector agropecuario, a través del acompañamiento técnico, la coordinación interinstitucional y la implementación del Subsistema Nacional de Extensión Agropecuaria. </w:t>
      </w:r>
    </w:p>
    <w:p w14:paraId="3085A3D4" w14:textId="77777777" w:rsidR="000A4099" w:rsidRPr="000A4099" w:rsidRDefault="000A4099" w:rsidP="004B5F80">
      <w:pPr>
        <w:autoSpaceDE w:val="0"/>
        <w:autoSpaceDN w:val="0"/>
        <w:adjustRightInd w:val="0"/>
        <w:spacing w:line="240" w:lineRule="auto"/>
        <w:jc w:val="both"/>
        <w:rPr>
          <w:rFonts w:ascii="Arial" w:hAnsi="Arial" w:cs="Arial"/>
          <w:sz w:val="24"/>
          <w:szCs w:val="24"/>
        </w:rPr>
      </w:pPr>
    </w:p>
    <w:p w14:paraId="11EAD050" w14:textId="77777777" w:rsidR="000A4099" w:rsidRDefault="000A4099" w:rsidP="004B5F80">
      <w:pPr>
        <w:autoSpaceDE w:val="0"/>
        <w:autoSpaceDN w:val="0"/>
        <w:adjustRightInd w:val="0"/>
        <w:spacing w:line="240" w:lineRule="auto"/>
        <w:jc w:val="both"/>
        <w:rPr>
          <w:rFonts w:ascii="Arial" w:hAnsi="Arial" w:cs="Arial"/>
          <w:b/>
          <w:bCs/>
          <w:sz w:val="24"/>
          <w:szCs w:val="24"/>
        </w:rPr>
      </w:pPr>
      <w:r w:rsidRPr="000A4099">
        <w:rPr>
          <w:rFonts w:ascii="Arial" w:hAnsi="Arial" w:cs="Arial"/>
          <w:b/>
          <w:bCs/>
          <w:sz w:val="24"/>
          <w:szCs w:val="24"/>
        </w:rPr>
        <w:t xml:space="preserve">Línea Estratégica 2: Optimización del servicio público de adecuación de tierras </w:t>
      </w:r>
    </w:p>
    <w:p w14:paraId="18680D17" w14:textId="77777777" w:rsidR="002323DF" w:rsidRPr="000A4099" w:rsidRDefault="002323DF" w:rsidP="004B5F80">
      <w:pPr>
        <w:autoSpaceDE w:val="0"/>
        <w:autoSpaceDN w:val="0"/>
        <w:adjustRightInd w:val="0"/>
        <w:spacing w:line="240" w:lineRule="auto"/>
        <w:jc w:val="both"/>
        <w:rPr>
          <w:rFonts w:ascii="Arial" w:hAnsi="Arial" w:cs="Arial"/>
          <w:sz w:val="24"/>
          <w:szCs w:val="24"/>
        </w:rPr>
      </w:pPr>
    </w:p>
    <w:p w14:paraId="78464DCC" w14:textId="6ACADA42" w:rsidR="000A4099" w:rsidRPr="002323DF" w:rsidRDefault="000A4099" w:rsidP="002323DF">
      <w:pPr>
        <w:pStyle w:val="Prrafodelista"/>
        <w:numPr>
          <w:ilvl w:val="0"/>
          <w:numId w:val="13"/>
        </w:numPr>
        <w:rPr>
          <w:rFonts w:ascii="Arial" w:hAnsi="Arial" w:cs="Arial"/>
          <w:sz w:val="24"/>
          <w:szCs w:val="24"/>
        </w:rPr>
      </w:pPr>
      <w:r w:rsidRPr="002323DF">
        <w:rPr>
          <w:rFonts w:ascii="Arial" w:hAnsi="Arial" w:cs="Arial"/>
          <w:b/>
          <w:bCs/>
          <w:sz w:val="24"/>
          <w:szCs w:val="24"/>
        </w:rPr>
        <w:t xml:space="preserve">Objetivo estratégico 3: </w:t>
      </w:r>
      <w:r w:rsidRPr="002323DF">
        <w:rPr>
          <w:rFonts w:ascii="Arial" w:hAnsi="Arial" w:cs="Arial"/>
          <w:sz w:val="24"/>
          <w:szCs w:val="24"/>
        </w:rPr>
        <w:t xml:space="preserve">Aumentar la cobertura y calidad en la provisión del servicio público de adecuación de tierras. </w:t>
      </w:r>
    </w:p>
    <w:p w14:paraId="3C2388EA" w14:textId="77777777" w:rsidR="000A4099" w:rsidRPr="000A4099" w:rsidRDefault="000A4099" w:rsidP="004B5F80">
      <w:pPr>
        <w:autoSpaceDE w:val="0"/>
        <w:autoSpaceDN w:val="0"/>
        <w:adjustRightInd w:val="0"/>
        <w:spacing w:line="240" w:lineRule="auto"/>
        <w:jc w:val="both"/>
        <w:rPr>
          <w:rFonts w:ascii="Arial" w:hAnsi="Arial" w:cs="Arial"/>
          <w:sz w:val="24"/>
          <w:szCs w:val="24"/>
        </w:rPr>
      </w:pPr>
    </w:p>
    <w:p w14:paraId="3A4851F3" w14:textId="77777777" w:rsidR="000A4099" w:rsidRPr="000A4099" w:rsidRDefault="000A4099" w:rsidP="004B5F80">
      <w:pPr>
        <w:autoSpaceDE w:val="0"/>
        <w:autoSpaceDN w:val="0"/>
        <w:adjustRightInd w:val="0"/>
        <w:spacing w:line="240" w:lineRule="auto"/>
        <w:jc w:val="both"/>
        <w:rPr>
          <w:rFonts w:ascii="Arial" w:hAnsi="Arial" w:cs="Arial"/>
          <w:sz w:val="24"/>
          <w:szCs w:val="24"/>
        </w:rPr>
      </w:pPr>
      <w:r w:rsidRPr="000A4099">
        <w:rPr>
          <w:rFonts w:ascii="Arial" w:hAnsi="Arial" w:cs="Arial"/>
          <w:b/>
          <w:bCs/>
          <w:sz w:val="24"/>
          <w:szCs w:val="24"/>
        </w:rPr>
        <w:t xml:space="preserve">Línea Estratégica 3: Fortalecimiento de capacidades institucionales </w:t>
      </w:r>
    </w:p>
    <w:p w14:paraId="1D436DFC" w14:textId="77777777" w:rsidR="002323DF" w:rsidRDefault="002323DF" w:rsidP="004B5F80">
      <w:pPr>
        <w:autoSpaceDE w:val="0"/>
        <w:autoSpaceDN w:val="0"/>
        <w:adjustRightInd w:val="0"/>
        <w:spacing w:line="240" w:lineRule="auto"/>
        <w:jc w:val="both"/>
        <w:rPr>
          <w:rFonts w:ascii="Arial" w:hAnsi="Arial" w:cs="Arial"/>
          <w:sz w:val="24"/>
          <w:szCs w:val="24"/>
        </w:rPr>
      </w:pPr>
    </w:p>
    <w:p w14:paraId="037CA20F" w14:textId="7F488C83" w:rsidR="000A4099" w:rsidRPr="002323DF" w:rsidRDefault="000A4099" w:rsidP="002323DF">
      <w:pPr>
        <w:pStyle w:val="Prrafodelista"/>
        <w:numPr>
          <w:ilvl w:val="0"/>
          <w:numId w:val="13"/>
        </w:numPr>
        <w:rPr>
          <w:rFonts w:ascii="Arial" w:hAnsi="Arial" w:cs="Arial"/>
          <w:sz w:val="24"/>
          <w:szCs w:val="24"/>
        </w:rPr>
      </w:pPr>
      <w:r w:rsidRPr="002323DF">
        <w:rPr>
          <w:rFonts w:ascii="Arial" w:hAnsi="Arial" w:cs="Arial"/>
          <w:b/>
          <w:bCs/>
          <w:sz w:val="24"/>
          <w:szCs w:val="24"/>
        </w:rPr>
        <w:t xml:space="preserve">Objetivo estratégico 4: </w:t>
      </w:r>
      <w:r w:rsidRPr="002323DF">
        <w:rPr>
          <w:rFonts w:ascii="Arial" w:hAnsi="Arial" w:cs="Arial"/>
          <w:sz w:val="24"/>
          <w:szCs w:val="24"/>
        </w:rPr>
        <w:t xml:space="preserve">Consolidar el modelo de gestión para optimizar el desempeño institucional, la articulación interinstitucional y el uso de los recursos físicos, financieros, tecnológicos y humanos. </w:t>
      </w:r>
    </w:p>
    <w:p w14:paraId="3665B00F" w14:textId="77777777" w:rsidR="009D26AB" w:rsidRDefault="009D26AB" w:rsidP="004B5F80">
      <w:pPr>
        <w:jc w:val="both"/>
        <w:rPr>
          <w:rFonts w:ascii="Arial" w:eastAsia="Calibri" w:hAnsi="Arial" w:cs="Arial"/>
          <w:sz w:val="24"/>
          <w:szCs w:val="24"/>
        </w:rPr>
      </w:pPr>
    </w:p>
    <w:p w14:paraId="472CB8B4" w14:textId="77777777" w:rsidR="00B51242" w:rsidRDefault="00B51242" w:rsidP="004B5F80">
      <w:pPr>
        <w:jc w:val="both"/>
        <w:rPr>
          <w:rFonts w:ascii="Arial" w:eastAsia="Calibri" w:hAnsi="Arial" w:cs="Arial"/>
          <w:sz w:val="24"/>
          <w:szCs w:val="24"/>
        </w:rPr>
      </w:pPr>
    </w:p>
    <w:p w14:paraId="19B69966" w14:textId="77777777" w:rsidR="00B51242" w:rsidRDefault="00B51242" w:rsidP="004B5F80">
      <w:pPr>
        <w:jc w:val="both"/>
        <w:rPr>
          <w:rFonts w:ascii="Arial" w:eastAsia="Calibri" w:hAnsi="Arial" w:cs="Arial"/>
          <w:sz w:val="24"/>
          <w:szCs w:val="24"/>
        </w:rPr>
      </w:pPr>
    </w:p>
    <w:p w14:paraId="0D27A6E3" w14:textId="77777777" w:rsidR="00B51242" w:rsidRDefault="00B51242" w:rsidP="004B5F80">
      <w:pPr>
        <w:jc w:val="both"/>
        <w:rPr>
          <w:rFonts w:ascii="Arial" w:eastAsia="Calibri" w:hAnsi="Arial" w:cs="Arial"/>
          <w:sz w:val="24"/>
          <w:szCs w:val="24"/>
        </w:rPr>
      </w:pPr>
    </w:p>
    <w:p w14:paraId="453A1B38" w14:textId="77777777" w:rsidR="00B51242" w:rsidRDefault="00B51242" w:rsidP="004B5F80">
      <w:pPr>
        <w:jc w:val="both"/>
        <w:rPr>
          <w:rFonts w:ascii="Arial" w:eastAsia="Calibri" w:hAnsi="Arial" w:cs="Arial"/>
          <w:sz w:val="24"/>
          <w:szCs w:val="24"/>
        </w:rPr>
      </w:pPr>
    </w:p>
    <w:p w14:paraId="61331B7E" w14:textId="77777777" w:rsidR="00B51242" w:rsidRDefault="00B51242" w:rsidP="004B5F80">
      <w:pPr>
        <w:jc w:val="both"/>
        <w:rPr>
          <w:rFonts w:ascii="Arial" w:eastAsia="Calibri" w:hAnsi="Arial" w:cs="Arial"/>
          <w:sz w:val="24"/>
          <w:szCs w:val="24"/>
        </w:rPr>
      </w:pPr>
    </w:p>
    <w:p w14:paraId="00B29D0D" w14:textId="77777777" w:rsidR="00B51242" w:rsidRDefault="00B51242" w:rsidP="004B5F80">
      <w:pPr>
        <w:jc w:val="both"/>
        <w:rPr>
          <w:rFonts w:ascii="Arial" w:eastAsia="Calibri" w:hAnsi="Arial" w:cs="Arial"/>
          <w:sz w:val="24"/>
          <w:szCs w:val="24"/>
        </w:rPr>
      </w:pPr>
    </w:p>
    <w:p w14:paraId="5F3F9AE4" w14:textId="77777777" w:rsidR="00B51242" w:rsidRDefault="00B51242" w:rsidP="004B5F80">
      <w:pPr>
        <w:jc w:val="both"/>
        <w:rPr>
          <w:rFonts w:ascii="Arial" w:eastAsia="Calibri" w:hAnsi="Arial" w:cs="Arial"/>
          <w:sz w:val="24"/>
          <w:szCs w:val="24"/>
        </w:rPr>
      </w:pPr>
    </w:p>
    <w:p w14:paraId="26260C40" w14:textId="77777777" w:rsidR="00B51242" w:rsidRDefault="00B51242" w:rsidP="004B5F80">
      <w:pPr>
        <w:jc w:val="both"/>
        <w:rPr>
          <w:rFonts w:ascii="Arial" w:eastAsia="Calibri" w:hAnsi="Arial" w:cs="Arial"/>
          <w:sz w:val="24"/>
          <w:szCs w:val="24"/>
        </w:rPr>
      </w:pPr>
    </w:p>
    <w:p w14:paraId="1CB0B603" w14:textId="77777777" w:rsidR="00B51242" w:rsidRDefault="00B51242" w:rsidP="004B5F80">
      <w:pPr>
        <w:jc w:val="both"/>
        <w:rPr>
          <w:rFonts w:ascii="Arial" w:eastAsia="Calibri" w:hAnsi="Arial" w:cs="Arial"/>
          <w:sz w:val="24"/>
          <w:szCs w:val="24"/>
        </w:rPr>
      </w:pPr>
    </w:p>
    <w:p w14:paraId="424364DC" w14:textId="77777777" w:rsidR="00B51242" w:rsidRDefault="00B51242" w:rsidP="004B5F80">
      <w:pPr>
        <w:jc w:val="both"/>
        <w:rPr>
          <w:rFonts w:ascii="Arial" w:eastAsia="Calibri" w:hAnsi="Arial" w:cs="Arial"/>
          <w:sz w:val="24"/>
          <w:szCs w:val="24"/>
        </w:rPr>
      </w:pPr>
    </w:p>
    <w:p w14:paraId="2E81289C" w14:textId="77777777" w:rsidR="00B51242" w:rsidRDefault="00B51242" w:rsidP="004B5F80">
      <w:pPr>
        <w:jc w:val="both"/>
        <w:rPr>
          <w:rFonts w:ascii="Arial" w:eastAsia="Calibri" w:hAnsi="Arial" w:cs="Arial"/>
          <w:sz w:val="24"/>
          <w:szCs w:val="24"/>
        </w:rPr>
      </w:pPr>
    </w:p>
    <w:p w14:paraId="2BFFB699" w14:textId="77777777" w:rsidR="00B51242" w:rsidRDefault="00B51242" w:rsidP="004B5F80">
      <w:pPr>
        <w:jc w:val="both"/>
        <w:rPr>
          <w:rFonts w:ascii="Arial" w:eastAsia="Calibri" w:hAnsi="Arial" w:cs="Arial"/>
          <w:sz w:val="24"/>
          <w:szCs w:val="24"/>
        </w:rPr>
      </w:pPr>
    </w:p>
    <w:p w14:paraId="0C0CE1D4" w14:textId="77777777" w:rsidR="00B51242" w:rsidRDefault="00B51242" w:rsidP="004B5F80">
      <w:pPr>
        <w:jc w:val="both"/>
        <w:rPr>
          <w:rFonts w:ascii="Arial" w:eastAsia="Calibri" w:hAnsi="Arial" w:cs="Arial"/>
          <w:sz w:val="24"/>
          <w:szCs w:val="24"/>
        </w:rPr>
      </w:pPr>
    </w:p>
    <w:p w14:paraId="6540381D" w14:textId="77777777" w:rsidR="00B51242" w:rsidRDefault="00B51242" w:rsidP="004B5F80">
      <w:pPr>
        <w:jc w:val="both"/>
        <w:rPr>
          <w:rFonts w:ascii="Arial" w:eastAsia="Calibri" w:hAnsi="Arial" w:cs="Arial"/>
          <w:sz w:val="24"/>
          <w:szCs w:val="24"/>
        </w:rPr>
      </w:pPr>
    </w:p>
    <w:p w14:paraId="6BB58FEB" w14:textId="77777777" w:rsidR="00B51242" w:rsidRDefault="00B51242" w:rsidP="004B5F80">
      <w:pPr>
        <w:jc w:val="both"/>
        <w:rPr>
          <w:rFonts w:ascii="Arial" w:eastAsia="Calibri" w:hAnsi="Arial" w:cs="Arial"/>
          <w:sz w:val="24"/>
          <w:szCs w:val="24"/>
        </w:rPr>
      </w:pPr>
    </w:p>
    <w:p w14:paraId="2F5F0CFA" w14:textId="77777777" w:rsidR="00B51242" w:rsidRDefault="00B51242" w:rsidP="004B5F80">
      <w:pPr>
        <w:jc w:val="both"/>
        <w:rPr>
          <w:rFonts w:ascii="Arial" w:eastAsia="Calibri" w:hAnsi="Arial" w:cs="Arial"/>
          <w:sz w:val="24"/>
          <w:szCs w:val="24"/>
        </w:rPr>
      </w:pPr>
    </w:p>
    <w:p w14:paraId="6C81AE28" w14:textId="77777777" w:rsidR="00B51242" w:rsidRDefault="00B51242" w:rsidP="004B5F80">
      <w:pPr>
        <w:jc w:val="both"/>
        <w:rPr>
          <w:rFonts w:ascii="Arial" w:eastAsia="Calibri" w:hAnsi="Arial" w:cs="Arial"/>
          <w:sz w:val="24"/>
          <w:szCs w:val="24"/>
        </w:rPr>
      </w:pPr>
    </w:p>
    <w:p w14:paraId="46031E7B" w14:textId="77777777" w:rsidR="00B51242" w:rsidRDefault="00B51242" w:rsidP="004B5F80">
      <w:pPr>
        <w:jc w:val="both"/>
        <w:rPr>
          <w:rFonts w:ascii="Arial" w:eastAsia="Calibri" w:hAnsi="Arial" w:cs="Arial"/>
          <w:sz w:val="24"/>
          <w:szCs w:val="24"/>
        </w:rPr>
      </w:pPr>
    </w:p>
    <w:p w14:paraId="00B52888" w14:textId="77777777" w:rsidR="00B51242" w:rsidRDefault="00B51242" w:rsidP="004B5F80">
      <w:pPr>
        <w:jc w:val="both"/>
        <w:rPr>
          <w:rFonts w:ascii="Arial" w:eastAsia="Calibri" w:hAnsi="Arial" w:cs="Arial"/>
          <w:sz w:val="24"/>
          <w:szCs w:val="24"/>
        </w:rPr>
      </w:pPr>
    </w:p>
    <w:p w14:paraId="101463D1" w14:textId="4453ABB8" w:rsidR="00B51242" w:rsidRPr="00B51242" w:rsidRDefault="00B51242" w:rsidP="00B51242">
      <w:pPr>
        <w:autoSpaceDE w:val="0"/>
        <w:autoSpaceDN w:val="0"/>
        <w:adjustRightInd w:val="0"/>
        <w:spacing w:line="240" w:lineRule="auto"/>
        <w:rPr>
          <w:rFonts w:ascii="Arial" w:hAnsi="Arial" w:cs="Arial"/>
          <w:b/>
          <w:bCs/>
          <w:color w:val="538135" w:themeColor="accent6" w:themeShade="BF"/>
          <w:sz w:val="24"/>
          <w:szCs w:val="24"/>
        </w:rPr>
      </w:pPr>
      <w:r>
        <w:rPr>
          <w:rFonts w:ascii="Arial" w:hAnsi="Arial" w:cs="Arial"/>
          <w:b/>
          <w:bCs/>
          <w:color w:val="538135" w:themeColor="accent6" w:themeShade="BF"/>
          <w:sz w:val="24"/>
          <w:szCs w:val="24"/>
        </w:rPr>
        <w:t>SEGUIMIENTO</w:t>
      </w:r>
      <w:r w:rsidR="00B720E6">
        <w:rPr>
          <w:rFonts w:ascii="Arial" w:hAnsi="Arial" w:cs="Arial"/>
          <w:b/>
          <w:bCs/>
          <w:color w:val="538135" w:themeColor="accent6" w:themeShade="BF"/>
          <w:sz w:val="24"/>
          <w:szCs w:val="24"/>
        </w:rPr>
        <w:t>,</w:t>
      </w:r>
      <w:r>
        <w:rPr>
          <w:rFonts w:ascii="Arial" w:hAnsi="Arial" w:cs="Arial"/>
          <w:b/>
          <w:bCs/>
          <w:color w:val="538135" w:themeColor="accent6" w:themeShade="BF"/>
          <w:sz w:val="24"/>
          <w:szCs w:val="24"/>
        </w:rPr>
        <w:t xml:space="preserve"> </w:t>
      </w:r>
      <w:r w:rsidR="00217759">
        <w:rPr>
          <w:rFonts w:ascii="Arial" w:hAnsi="Arial" w:cs="Arial"/>
          <w:b/>
          <w:bCs/>
          <w:color w:val="538135" w:themeColor="accent6" w:themeShade="BF"/>
          <w:sz w:val="24"/>
          <w:szCs w:val="24"/>
        </w:rPr>
        <w:t xml:space="preserve">PRIMER </w:t>
      </w:r>
      <w:r>
        <w:rPr>
          <w:rFonts w:ascii="Arial" w:hAnsi="Arial" w:cs="Arial"/>
          <w:b/>
          <w:bCs/>
          <w:color w:val="538135" w:themeColor="accent6" w:themeShade="BF"/>
          <w:sz w:val="24"/>
          <w:szCs w:val="24"/>
        </w:rPr>
        <w:t>TRIMESTRE</w:t>
      </w:r>
      <w:r w:rsidR="00B720E6">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2020</w:t>
      </w:r>
    </w:p>
    <w:p w14:paraId="0567EAD6" w14:textId="77777777" w:rsidR="00B51242" w:rsidRDefault="00B51242" w:rsidP="004B5F80">
      <w:pPr>
        <w:jc w:val="both"/>
        <w:rPr>
          <w:rFonts w:ascii="Arial" w:eastAsia="Calibri" w:hAnsi="Arial" w:cs="Arial"/>
          <w:sz w:val="24"/>
          <w:szCs w:val="24"/>
        </w:rPr>
      </w:pPr>
    </w:p>
    <w:p w14:paraId="6BE04D1A" w14:textId="1D899EAC" w:rsidR="00D45F25" w:rsidRPr="00D45F25" w:rsidRDefault="00D45F25" w:rsidP="00D45F25">
      <w:pPr>
        <w:autoSpaceDE w:val="0"/>
        <w:autoSpaceDN w:val="0"/>
        <w:adjustRightInd w:val="0"/>
        <w:spacing w:line="240" w:lineRule="auto"/>
        <w:jc w:val="both"/>
        <w:rPr>
          <w:rFonts w:ascii="Arial" w:hAnsi="Arial" w:cs="Arial"/>
          <w:color w:val="000000"/>
          <w:sz w:val="24"/>
          <w:szCs w:val="24"/>
        </w:rPr>
      </w:pPr>
      <w:r w:rsidRPr="00D45F25">
        <w:rPr>
          <w:rFonts w:ascii="Arial" w:hAnsi="Arial" w:cs="Arial"/>
          <w:color w:val="000000"/>
          <w:sz w:val="24"/>
          <w:szCs w:val="24"/>
        </w:rPr>
        <w:t>El presente informe contiene el reporte de avance del Plan de Acción Institucional por cada una de las tres Líneas Estratégicas definidas y que para el período comprendido entre el 1° d</w:t>
      </w:r>
      <w:r w:rsidR="00482312">
        <w:rPr>
          <w:rFonts w:ascii="Arial" w:hAnsi="Arial" w:cs="Arial"/>
          <w:color w:val="000000"/>
          <w:sz w:val="24"/>
          <w:szCs w:val="24"/>
        </w:rPr>
        <w:t>e enero y el 31 de marzo de 2020</w:t>
      </w:r>
      <w:r w:rsidRPr="00D45F25">
        <w:rPr>
          <w:rFonts w:ascii="Arial" w:hAnsi="Arial" w:cs="Arial"/>
          <w:color w:val="000000"/>
          <w:sz w:val="24"/>
          <w:szCs w:val="24"/>
        </w:rPr>
        <w:t xml:space="preserve">, obtuvo un avance promedio del </w:t>
      </w:r>
      <w:r w:rsidR="007A7E75">
        <w:rPr>
          <w:rFonts w:ascii="Arial" w:hAnsi="Arial" w:cs="Arial"/>
          <w:bCs/>
          <w:color w:val="000000"/>
          <w:sz w:val="24"/>
          <w:szCs w:val="24"/>
        </w:rPr>
        <w:t>19</w:t>
      </w:r>
      <w:r w:rsidRPr="00365A45">
        <w:rPr>
          <w:rFonts w:ascii="Arial" w:hAnsi="Arial" w:cs="Arial"/>
          <w:bCs/>
          <w:color w:val="000000"/>
          <w:sz w:val="24"/>
          <w:szCs w:val="24"/>
        </w:rPr>
        <w:t>%</w:t>
      </w:r>
      <w:r w:rsidRPr="00365A45">
        <w:rPr>
          <w:rFonts w:ascii="Arial" w:hAnsi="Arial" w:cs="Arial"/>
          <w:color w:val="000000"/>
          <w:sz w:val="24"/>
          <w:szCs w:val="24"/>
        </w:rPr>
        <w:t>.</w:t>
      </w:r>
      <w:r w:rsidRPr="00D45F25">
        <w:rPr>
          <w:rFonts w:ascii="Arial" w:hAnsi="Arial" w:cs="Arial"/>
          <w:color w:val="000000"/>
          <w:sz w:val="24"/>
          <w:szCs w:val="24"/>
        </w:rPr>
        <w:t xml:space="preserve"> </w:t>
      </w:r>
    </w:p>
    <w:p w14:paraId="2D488593" w14:textId="77777777" w:rsidR="00D45F25" w:rsidRPr="00D45F25" w:rsidRDefault="00D45F25" w:rsidP="00D45F25">
      <w:pPr>
        <w:autoSpaceDE w:val="0"/>
        <w:autoSpaceDN w:val="0"/>
        <w:adjustRightInd w:val="0"/>
        <w:spacing w:line="240" w:lineRule="auto"/>
        <w:jc w:val="both"/>
        <w:rPr>
          <w:rFonts w:ascii="Arial" w:hAnsi="Arial" w:cs="Arial"/>
          <w:color w:val="000000"/>
          <w:sz w:val="24"/>
          <w:szCs w:val="24"/>
        </w:rPr>
      </w:pPr>
    </w:p>
    <w:p w14:paraId="2D2BB2CB" w14:textId="38186658" w:rsidR="00B51242" w:rsidRPr="00D45F25" w:rsidRDefault="00D45F25" w:rsidP="00D45F25">
      <w:pPr>
        <w:jc w:val="both"/>
        <w:rPr>
          <w:rFonts w:ascii="Arial" w:eastAsia="Calibri" w:hAnsi="Arial" w:cs="Arial"/>
          <w:sz w:val="24"/>
          <w:szCs w:val="24"/>
        </w:rPr>
      </w:pPr>
      <w:r w:rsidRPr="00D45F25">
        <w:rPr>
          <w:rFonts w:ascii="Arial" w:hAnsi="Arial" w:cs="Arial"/>
          <w:color w:val="000000"/>
          <w:sz w:val="24"/>
          <w:szCs w:val="24"/>
        </w:rPr>
        <w:t xml:space="preserve">Este avance corresponde al reporte realizado por las áreas, frente a los </w:t>
      </w:r>
      <w:r w:rsidR="00482312" w:rsidRPr="00482312">
        <w:rPr>
          <w:rFonts w:ascii="Arial" w:hAnsi="Arial" w:cs="Arial"/>
          <w:bCs/>
          <w:color w:val="000000"/>
          <w:sz w:val="24"/>
          <w:szCs w:val="24"/>
        </w:rPr>
        <w:t>78</w:t>
      </w:r>
      <w:r w:rsidRPr="00D45F25">
        <w:rPr>
          <w:rFonts w:ascii="Arial" w:hAnsi="Arial" w:cs="Arial"/>
          <w:b/>
          <w:bCs/>
          <w:color w:val="000000"/>
          <w:sz w:val="24"/>
          <w:szCs w:val="24"/>
        </w:rPr>
        <w:t xml:space="preserve"> </w:t>
      </w:r>
      <w:r w:rsidRPr="00D45F25">
        <w:rPr>
          <w:rFonts w:ascii="Arial" w:hAnsi="Arial" w:cs="Arial"/>
          <w:color w:val="000000"/>
          <w:sz w:val="24"/>
          <w:szCs w:val="24"/>
        </w:rPr>
        <w:t xml:space="preserve">indicadores definidos para el Plan de Acción </w:t>
      </w:r>
      <w:r w:rsidR="00B720E6">
        <w:rPr>
          <w:rFonts w:ascii="Arial" w:hAnsi="Arial" w:cs="Arial"/>
          <w:color w:val="000000"/>
          <w:sz w:val="24"/>
          <w:szCs w:val="24"/>
        </w:rPr>
        <w:t xml:space="preserve">Institucional </w:t>
      </w:r>
      <w:r w:rsidRPr="00D45F25">
        <w:rPr>
          <w:rFonts w:ascii="Arial" w:hAnsi="Arial" w:cs="Arial"/>
          <w:color w:val="000000"/>
          <w:sz w:val="24"/>
          <w:szCs w:val="24"/>
        </w:rPr>
        <w:t>de la presente vigencia. Cabe aclarar que este es un ejercicio inicial sujeto a ajustes en el reporte, por lo que es posible que para los próximos seguimientos varíe el valor del avance obtenido en este primer trimes</w:t>
      </w:r>
      <w:r w:rsidR="00482312">
        <w:rPr>
          <w:rFonts w:ascii="Arial" w:hAnsi="Arial" w:cs="Arial"/>
          <w:color w:val="000000"/>
          <w:sz w:val="24"/>
          <w:szCs w:val="24"/>
        </w:rPr>
        <w:t>tre. A continuación, presentamos</w:t>
      </w:r>
      <w:r w:rsidRPr="00D45F25">
        <w:rPr>
          <w:rFonts w:ascii="Arial" w:hAnsi="Arial" w:cs="Arial"/>
          <w:color w:val="000000"/>
          <w:sz w:val="24"/>
          <w:szCs w:val="24"/>
        </w:rPr>
        <w:t xml:space="preserve"> el número de indicadores asociado a cada Línea Estratégica y a los Objetivos Estratégicos que las componen:</w:t>
      </w:r>
    </w:p>
    <w:p w14:paraId="0076CFD2" w14:textId="77777777" w:rsidR="00B51242" w:rsidRPr="00D45F25" w:rsidRDefault="00B51242" w:rsidP="004B5F80">
      <w:pPr>
        <w:jc w:val="both"/>
        <w:rPr>
          <w:rFonts w:ascii="Arial" w:eastAsia="Calibri" w:hAnsi="Arial" w:cs="Arial"/>
          <w:sz w:val="24"/>
          <w:szCs w:val="24"/>
        </w:rPr>
      </w:pPr>
    </w:p>
    <w:p w14:paraId="690F55FF" w14:textId="08C1632A" w:rsidR="00B51242" w:rsidRPr="0078284D" w:rsidRDefault="0078284D" w:rsidP="0078284D">
      <w:pPr>
        <w:jc w:val="center"/>
        <w:rPr>
          <w:rFonts w:ascii="Arial" w:eastAsia="Calibri" w:hAnsi="Arial" w:cs="Arial"/>
          <w:b/>
          <w:sz w:val="24"/>
          <w:szCs w:val="24"/>
        </w:rPr>
      </w:pPr>
      <w:r w:rsidRPr="0078284D">
        <w:rPr>
          <w:rFonts w:ascii="Arial" w:eastAsia="Calibri" w:hAnsi="Arial" w:cs="Arial"/>
          <w:b/>
          <w:sz w:val="24"/>
          <w:szCs w:val="24"/>
        </w:rPr>
        <w:t>Tabla 1. Número de indicadores por Línea Estratégica y Objetivo Estratégico</w:t>
      </w:r>
    </w:p>
    <w:tbl>
      <w:tblPr>
        <w:tblW w:w="5000" w:type="pct"/>
        <w:tblCellMar>
          <w:left w:w="70" w:type="dxa"/>
          <w:right w:w="70" w:type="dxa"/>
        </w:tblCellMar>
        <w:tblLook w:val="04A0" w:firstRow="1" w:lastRow="0" w:firstColumn="1" w:lastColumn="0" w:noHBand="0" w:noVBand="1"/>
      </w:tblPr>
      <w:tblGrid>
        <w:gridCol w:w="6784"/>
        <w:gridCol w:w="1352"/>
        <w:gridCol w:w="692"/>
      </w:tblGrid>
      <w:tr w:rsidR="000347DA" w:rsidRPr="000347DA" w14:paraId="51AD5242" w14:textId="77777777" w:rsidTr="000347DA">
        <w:trPr>
          <w:trHeight w:val="600"/>
        </w:trPr>
        <w:tc>
          <w:tcPr>
            <w:tcW w:w="3842" w:type="pct"/>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AB8190B"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Composición</w:t>
            </w:r>
          </w:p>
        </w:tc>
        <w:tc>
          <w:tcPr>
            <w:tcW w:w="766" w:type="pct"/>
            <w:tcBorders>
              <w:top w:val="single" w:sz="4" w:space="0" w:color="auto"/>
              <w:left w:val="nil"/>
              <w:bottom w:val="single" w:sz="4" w:space="0" w:color="auto"/>
              <w:right w:val="single" w:sz="4" w:space="0" w:color="auto"/>
            </w:tcBorders>
            <w:shd w:val="clear" w:color="000000" w:fill="70AD47"/>
            <w:vAlign w:val="bottom"/>
            <w:hideMark/>
          </w:tcPr>
          <w:p w14:paraId="03A5C10C"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Número de</w:t>
            </w:r>
            <w:r w:rsidRPr="000347DA">
              <w:rPr>
                <w:rFonts w:ascii="Arial" w:eastAsia="Times New Roman" w:hAnsi="Arial" w:cs="Arial"/>
                <w:b/>
                <w:bCs/>
                <w:color w:val="FFFFFF"/>
                <w:sz w:val="20"/>
                <w:szCs w:val="20"/>
                <w:lang w:eastAsia="es-CO"/>
              </w:rPr>
              <w:br/>
              <w:t xml:space="preserve"> indicadores</w:t>
            </w:r>
          </w:p>
        </w:tc>
        <w:tc>
          <w:tcPr>
            <w:tcW w:w="392" w:type="pct"/>
            <w:tcBorders>
              <w:top w:val="single" w:sz="4" w:space="0" w:color="auto"/>
              <w:left w:val="nil"/>
              <w:bottom w:val="single" w:sz="4" w:space="0" w:color="auto"/>
              <w:right w:val="single" w:sz="4" w:space="0" w:color="auto"/>
            </w:tcBorders>
            <w:shd w:val="clear" w:color="000000" w:fill="70AD47"/>
            <w:noWrap/>
            <w:vAlign w:val="center"/>
            <w:hideMark/>
          </w:tcPr>
          <w:p w14:paraId="08EB9B31"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w:t>
            </w:r>
          </w:p>
        </w:tc>
      </w:tr>
      <w:tr w:rsidR="000347DA" w:rsidRPr="000347DA" w14:paraId="5D539AAE" w14:textId="77777777" w:rsidTr="000347DA">
        <w:trPr>
          <w:trHeight w:val="300"/>
        </w:trPr>
        <w:tc>
          <w:tcPr>
            <w:tcW w:w="3842" w:type="pct"/>
            <w:tcBorders>
              <w:top w:val="nil"/>
              <w:left w:val="single" w:sz="4" w:space="0" w:color="auto"/>
              <w:bottom w:val="single" w:sz="4" w:space="0" w:color="auto"/>
              <w:right w:val="single" w:sz="4" w:space="0" w:color="auto"/>
            </w:tcBorders>
            <w:shd w:val="clear" w:color="000000" w:fill="70AD47"/>
            <w:noWrap/>
            <w:vAlign w:val="bottom"/>
            <w:hideMark/>
          </w:tcPr>
          <w:p w14:paraId="0139954F" w14:textId="77777777"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Línea Estratégica 1: Dinamización de la competitividad rural</w:t>
            </w:r>
          </w:p>
        </w:tc>
        <w:tc>
          <w:tcPr>
            <w:tcW w:w="766" w:type="pct"/>
            <w:tcBorders>
              <w:top w:val="nil"/>
              <w:left w:val="nil"/>
              <w:bottom w:val="single" w:sz="4" w:space="0" w:color="auto"/>
              <w:right w:val="single" w:sz="4" w:space="0" w:color="auto"/>
            </w:tcBorders>
            <w:shd w:val="clear" w:color="000000" w:fill="70AD47"/>
            <w:noWrap/>
            <w:vAlign w:val="bottom"/>
            <w:hideMark/>
          </w:tcPr>
          <w:p w14:paraId="19219752"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35</w:t>
            </w:r>
          </w:p>
        </w:tc>
        <w:tc>
          <w:tcPr>
            <w:tcW w:w="392" w:type="pct"/>
            <w:tcBorders>
              <w:top w:val="nil"/>
              <w:left w:val="nil"/>
              <w:bottom w:val="single" w:sz="4" w:space="0" w:color="auto"/>
              <w:right w:val="single" w:sz="4" w:space="0" w:color="auto"/>
            </w:tcBorders>
            <w:shd w:val="clear" w:color="000000" w:fill="70AD47"/>
            <w:noWrap/>
            <w:vAlign w:val="center"/>
            <w:hideMark/>
          </w:tcPr>
          <w:p w14:paraId="38B6F14B"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45%</w:t>
            </w:r>
          </w:p>
        </w:tc>
      </w:tr>
      <w:tr w:rsidR="000347DA" w:rsidRPr="000347DA" w14:paraId="14E5419F" w14:textId="77777777" w:rsidTr="000347DA">
        <w:trPr>
          <w:trHeight w:val="987"/>
        </w:trPr>
        <w:tc>
          <w:tcPr>
            <w:tcW w:w="3842" w:type="pct"/>
            <w:tcBorders>
              <w:top w:val="nil"/>
              <w:left w:val="single" w:sz="4" w:space="0" w:color="auto"/>
              <w:bottom w:val="single" w:sz="4" w:space="0" w:color="auto"/>
              <w:right w:val="single" w:sz="4" w:space="0" w:color="auto"/>
            </w:tcBorders>
            <w:shd w:val="clear" w:color="auto" w:fill="auto"/>
            <w:vAlign w:val="center"/>
            <w:hideMark/>
          </w:tcPr>
          <w:p w14:paraId="6B61F1DB" w14:textId="77777777"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Objetivo Estratégico 1:</w:t>
            </w:r>
            <w:r w:rsidRPr="000347DA">
              <w:rPr>
                <w:rFonts w:ascii="Arial" w:eastAsia="Times New Roman" w:hAnsi="Arial" w:cs="Arial"/>
                <w:color w:val="000000"/>
                <w:sz w:val="20"/>
                <w:szCs w:val="20"/>
                <w:lang w:eastAsia="es-CO"/>
              </w:rPr>
              <w:t xml:space="preserve"> Promover el desarrollo de capacidades para la generación sostenible de ingresos en la comunidad rural, a partir de la realización de intervenciones efectivas y acordes con la vocación agropecuaria de los territorios.</w:t>
            </w:r>
          </w:p>
        </w:tc>
        <w:tc>
          <w:tcPr>
            <w:tcW w:w="766" w:type="pct"/>
            <w:tcBorders>
              <w:top w:val="nil"/>
              <w:left w:val="nil"/>
              <w:bottom w:val="single" w:sz="4" w:space="0" w:color="auto"/>
              <w:right w:val="single" w:sz="4" w:space="0" w:color="auto"/>
            </w:tcBorders>
            <w:shd w:val="clear" w:color="auto" w:fill="auto"/>
            <w:noWrap/>
            <w:vAlign w:val="center"/>
            <w:hideMark/>
          </w:tcPr>
          <w:p w14:paraId="278846EF"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31</w:t>
            </w:r>
          </w:p>
        </w:tc>
        <w:tc>
          <w:tcPr>
            <w:tcW w:w="392" w:type="pct"/>
            <w:tcBorders>
              <w:top w:val="nil"/>
              <w:left w:val="nil"/>
              <w:bottom w:val="single" w:sz="4" w:space="0" w:color="auto"/>
              <w:right w:val="single" w:sz="4" w:space="0" w:color="auto"/>
            </w:tcBorders>
            <w:shd w:val="clear" w:color="auto" w:fill="auto"/>
            <w:noWrap/>
            <w:vAlign w:val="center"/>
            <w:hideMark/>
          </w:tcPr>
          <w:p w14:paraId="321619B7"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40%</w:t>
            </w:r>
          </w:p>
        </w:tc>
      </w:tr>
      <w:tr w:rsidR="000347DA" w:rsidRPr="000347DA" w14:paraId="59114B14" w14:textId="77777777" w:rsidTr="000347DA">
        <w:trPr>
          <w:trHeight w:val="1060"/>
        </w:trPr>
        <w:tc>
          <w:tcPr>
            <w:tcW w:w="3842" w:type="pct"/>
            <w:tcBorders>
              <w:top w:val="nil"/>
              <w:left w:val="single" w:sz="4" w:space="0" w:color="auto"/>
              <w:bottom w:val="single" w:sz="4" w:space="0" w:color="auto"/>
              <w:right w:val="single" w:sz="4" w:space="0" w:color="auto"/>
            </w:tcBorders>
            <w:shd w:val="clear" w:color="auto" w:fill="auto"/>
            <w:vAlign w:val="bottom"/>
            <w:hideMark/>
          </w:tcPr>
          <w:p w14:paraId="3A1336D2" w14:textId="77777777"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Objetivo Estratégico 2</w:t>
            </w:r>
            <w:r w:rsidRPr="000347DA">
              <w:rPr>
                <w:rFonts w:ascii="Arial" w:eastAsia="Times New Roman" w:hAnsi="Arial" w:cs="Arial"/>
                <w:color w:val="000000"/>
                <w:sz w:val="20"/>
                <w:szCs w:val="20"/>
                <w:lang w:eastAsia="es-CO"/>
              </w:rPr>
              <w:t>: Fortalecer la productividad y competitividad de las cadenas de valor y sistemas productivos del sector agropecuario, a través del acompañamiento técnico, la coordinación interinstitucional y la implementación del Subsistema Nacional de Extensión Agropecuaria.</w:t>
            </w:r>
          </w:p>
        </w:tc>
        <w:tc>
          <w:tcPr>
            <w:tcW w:w="766" w:type="pct"/>
            <w:tcBorders>
              <w:top w:val="nil"/>
              <w:left w:val="nil"/>
              <w:bottom w:val="single" w:sz="4" w:space="0" w:color="auto"/>
              <w:right w:val="single" w:sz="4" w:space="0" w:color="auto"/>
            </w:tcBorders>
            <w:shd w:val="clear" w:color="auto" w:fill="auto"/>
            <w:noWrap/>
            <w:vAlign w:val="center"/>
            <w:hideMark/>
          </w:tcPr>
          <w:p w14:paraId="0E2AE9C3"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4</w:t>
            </w:r>
          </w:p>
        </w:tc>
        <w:tc>
          <w:tcPr>
            <w:tcW w:w="392" w:type="pct"/>
            <w:tcBorders>
              <w:top w:val="nil"/>
              <w:left w:val="nil"/>
              <w:bottom w:val="single" w:sz="4" w:space="0" w:color="auto"/>
              <w:right w:val="single" w:sz="4" w:space="0" w:color="auto"/>
            </w:tcBorders>
            <w:shd w:val="clear" w:color="auto" w:fill="auto"/>
            <w:noWrap/>
            <w:vAlign w:val="center"/>
            <w:hideMark/>
          </w:tcPr>
          <w:p w14:paraId="1F569EA8"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5%</w:t>
            </w:r>
          </w:p>
        </w:tc>
      </w:tr>
      <w:tr w:rsidR="000347DA" w:rsidRPr="000347DA" w14:paraId="20607E6B" w14:textId="77777777" w:rsidTr="000347DA">
        <w:trPr>
          <w:trHeight w:val="600"/>
        </w:trPr>
        <w:tc>
          <w:tcPr>
            <w:tcW w:w="3842" w:type="pct"/>
            <w:tcBorders>
              <w:top w:val="nil"/>
              <w:left w:val="single" w:sz="4" w:space="0" w:color="auto"/>
              <w:bottom w:val="single" w:sz="4" w:space="0" w:color="auto"/>
              <w:right w:val="single" w:sz="4" w:space="0" w:color="auto"/>
            </w:tcBorders>
            <w:shd w:val="clear" w:color="000000" w:fill="70AD47"/>
            <w:vAlign w:val="center"/>
            <w:hideMark/>
          </w:tcPr>
          <w:p w14:paraId="077A1303" w14:textId="185693FF"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 xml:space="preserve">Línea </w:t>
            </w:r>
            <w:r w:rsidRPr="00517787">
              <w:rPr>
                <w:rFonts w:ascii="Arial" w:eastAsia="Times New Roman" w:hAnsi="Arial" w:cs="Arial"/>
                <w:b/>
                <w:bCs/>
                <w:color w:val="FFFFFF"/>
                <w:sz w:val="20"/>
                <w:szCs w:val="20"/>
                <w:lang w:eastAsia="es-CO"/>
              </w:rPr>
              <w:t>Estratégica</w:t>
            </w:r>
            <w:r w:rsidRPr="000347DA">
              <w:rPr>
                <w:rFonts w:ascii="Arial" w:eastAsia="Times New Roman" w:hAnsi="Arial" w:cs="Arial"/>
                <w:b/>
                <w:bCs/>
                <w:color w:val="FFFFFF"/>
                <w:sz w:val="20"/>
                <w:szCs w:val="20"/>
                <w:lang w:eastAsia="es-CO"/>
              </w:rPr>
              <w:t xml:space="preserve"> 2. Optimización del servicio público de adecuación de tierras</w:t>
            </w:r>
          </w:p>
        </w:tc>
        <w:tc>
          <w:tcPr>
            <w:tcW w:w="766" w:type="pct"/>
            <w:tcBorders>
              <w:top w:val="nil"/>
              <w:left w:val="nil"/>
              <w:bottom w:val="single" w:sz="4" w:space="0" w:color="auto"/>
              <w:right w:val="single" w:sz="4" w:space="0" w:color="auto"/>
            </w:tcBorders>
            <w:shd w:val="clear" w:color="000000" w:fill="70AD47"/>
            <w:vAlign w:val="center"/>
            <w:hideMark/>
          </w:tcPr>
          <w:p w14:paraId="71381E46"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15</w:t>
            </w:r>
          </w:p>
        </w:tc>
        <w:tc>
          <w:tcPr>
            <w:tcW w:w="392" w:type="pct"/>
            <w:tcBorders>
              <w:top w:val="nil"/>
              <w:left w:val="nil"/>
              <w:bottom w:val="single" w:sz="4" w:space="0" w:color="auto"/>
              <w:right w:val="single" w:sz="4" w:space="0" w:color="auto"/>
            </w:tcBorders>
            <w:shd w:val="clear" w:color="000000" w:fill="70AD47"/>
            <w:vAlign w:val="center"/>
            <w:hideMark/>
          </w:tcPr>
          <w:p w14:paraId="10EE4883"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19%</w:t>
            </w:r>
          </w:p>
        </w:tc>
      </w:tr>
      <w:tr w:rsidR="000347DA" w:rsidRPr="000347DA" w14:paraId="1B5B6539" w14:textId="77777777" w:rsidTr="000347DA">
        <w:trPr>
          <w:trHeight w:val="600"/>
        </w:trPr>
        <w:tc>
          <w:tcPr>
            <w:tcW w:w="3842" w:type="pct"/>
            <w:tcBorders>
              <w:top w:val="nil"/>
              <w:left w:val="single" w:sz="4" w:space="0" w:color="auto"/>
              <w:bottom w:val="single" w:sz="4" w:space="0" w:color="auto"/>
              <w:right w:val="single" w:sz="4" w:space="0" w:color="auto"/>
            </w:tcBorders>
            <w:shd w:val="clear" w:color="auto" w:fill="auto"/>
            <w:vAlign w:val="bottom"/>
            <w:hideMark/>
          </w:tcPr>
          <w:p w14:paraId="30DE8485" w14:textId="77777777"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Objetivo estratégico 3</w:t>
            </w:r>
            <w:r w:rsidRPr="000347DA">
              <w:rPr>
                <w:rFonts w:ascii="Arial" w:eastAsia="Times New Roman" w:hAnsi="Arial" w:cs="Arial"/>
                <w:color w:val="000000"/>
                <w:sz w:val="20"/>
                <w:szCs w:val="20"/>
                <w:lang w:eastAsia="es-CO"/>
              </w:rPr>
              <w:t>: Aumentar la cobertura y calidad en la provisión del servicio público de adecuación de tierras.</w:t>
            </w:r>
          </w:p>
        </w:tc>
        <w:tc>
          <w:tcPr>
            <w:tcW w:w="766" w:type="pct"/>
            <w:tcBorders>
              <w:top w:val="nil"/>
              <w:left w:val="nil"/>
              <w:bottom w:val="single" w:sz="4" w:space="0" w:color="auto"/>
              <w:right w:val="single" w:sz="4" w:space="0" w:color="auto"/>
            </w:tcBorders>
            <w:shd w:val="clear" w:color="auto" w:fill="auto"/>
            <w:noWrap/>
            <w:vAlign w:val="center"/>
            <w:hideMark/>
          </w:tcPr>
          <w:p w14:paraId="638EBE40"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15</w:t>
            </w:r>
          </w:p>
        </w:tc>
        <w:tc>
          <w:tcPr>
            <w:tcW w:w="392" w:type="pct"/>
            <w:tcBorders>
              <w:top w:val="nil"/>
              <w:left w:val="nil"/>
              <w:bottom w:val="single" w:sz="4" w:space="0" w:color="auto"/>
              <w:right w:val="single" w:sz="4" w:space="0" w:color="auto"/>
            </w:tcBorders>
            <w:shd w:val="clear" w:color="auto" w:fill="auto"/>
            <w:vAlign w:val="center"/>
            <w:hideMark/>
          </w:tcPr>
          <w:p w14:paraId="76259894"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19%</w:t>
            </w:r>
          </w:p>
        </w:tc>
      </w:tr>
      <w:tr w:rsidR="000347DA" w:rsidRPr="000347DA" w14:paraId="77FD3CAD" w14:textId="77777777" w:rsidTr="000347DA">
        <w:trPr>
          <w:trHeight w:val="396"/>
        </w:trPr>
        <w:tc>
          <w:tcPr>
            <w:tcW w:w="3842" w:type="pct"/>
            <w:tcBorders>
              <w:top w:val="nil"/>
              <w:left w:val="single" w:sz="4" w:space="0" w:color="auto"/>
              <w:bottom w:val="single" w:sz="4" w:space="0" w:color="auto"/>
              <w:right w:val="single" w:sz="4" w:space="0" w:color="auto"/>
            </w:tcBorders>
            <w:shd w:val="clear" w:color="000000" w:fill="70AD47"/>
            <w:vAlign w:val="bottom"/>
            <w:hideMark/>
          </w:tcPr>
          <w:p w14:paraId="1C46EE23" w14:textId="77777777"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Línea Estratégica 3:  Fortalecimiento de capacidades institucionales</w:t>
            </w:r>
          </w:p>
        </w:tc>
        <w:tc>
          <w:tcPr>
            <w:tcW w:w="766" w:type="pct"/>
            <w:tcBorders>
              <w:top w:val="nil"/>
              <w:left w:val="nil"/>
              <w:bottom w:val="single" w:sz="4" w:space="0" w:color="auto"/>
              <w:right w:val="single" w:sz="4" w:space="0" w:color="auto"/>
            </w:tcBorders>
            <w:shd w:val="clear" w:color="000000" w:fill="70AD47"/>
            <w:noWrap/>
            <w:vAlign w:val="center"/>
            <w:hideMark/>
          </w:tcPr>
          <w:p w14:paraId="682A718E"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28</w:t>
            </w:r>
          </w:p>
        </w:tc>
        <w:tc>
          <w:tcPr>
            <w:tcW w:w="392" w:type="pct"/>
            <w:tcBorders>
              <w:top w:val="nil"/>
              <w:left w:val="nil"/>
              <w:bottom w:val="single" w:sz="4" w:space="0" w:color="auto"/>
              <w:right w:val="single" w:sz="4" w:space="0" w:color="auto"/>
            </w:tcBorders>
            <w:shd w:val="clear" w:color="000000" w:fill="70AD47"/>
            <w:noWrap/>
            <w:vAlign w:val="center"/>
            <w:hideMark/>
          </w:tcPr>
          <w:p w14:paraId="3F53414F"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36%</w:t>
            </w:r>
          </w:p>
        </w:tc>
      </w:tr>
      <w:tr w:rsidR="000347DA" w:rsidRPr="000347DA" w14:paraId="017C423C" w14:textId="77777777" w:rsidTr="000347DA">
        <w:trPr>
          <w:trHeight w:val="773"/>
        </w:trPr>
        <w:tc>
          <w:tcPr>
            <w:tcW w:w="3842" w:type="pct"/>
            <w:tcBorders>
              <w:top w:val="nil"/>
              <w:left w:val="single" w:sz="4" w:space="0" w:color="auto"/>
              <w:bottom w:val="single" w:sz="4" w:space="0" w:color="auto"/>
              <w:right w:val="single" w:sz="4" w:space="0" w:color="auto"/>
            </w:tcBorders>
            <w:shd w:val="clear" w:color="auto" w:fill="auto"/>
            <w:vAlign w:val="bottom"/>
            <w:hideMark/>
          </w:tcPr>
          <w:p w14:paraId="490DB5E7" w14:textId="44018DB3" w:rsidR="000347DA" w:rsidRPr="000347DA" w:rsidRDefault="000347DA" w:rsidP="000347DA">
            <w:pPr>
              <w:spacing w:line="240" w:lineRule="auto"/>
              <w:jc w:val="both"/>
              <w:rPr>
                <w:rFonts w:ascii="Arial" w:eastAsia="Times New Roman" w:hAnsi="Arial" w:cs="Arial"/>
                <w:color w:val="000000"/>
                <w:sz w:val="20"/>
                <w:szCs w:val="20"/>
                <w:lang w:eastAsia="es-CO"/>
              </w:rPr>
            </w:pPr>
            <w:r w:rsidRPr="000347DA">
              <w:rPr>
                <w:rFonts w:ascii="Arial" w:eastAsia="Times New Roman" w:hAnsi="Arial" w:cs="Arial"/>
                <w:b/>
                <w:color w:val="000000"/>
                <w:sz w:val="20"/>
                <w:szCs w:val="20"/>
                <w:lang w:eastAsia="es-CO"/>
              </w:rPr>
              <w:t xml:space="preserve">Objetivo </w:t>
            </w:r>
            <w:r w:rsidRPr="00517787">
              <w:rPr>
                <w:rFonts w:ascii="Arial" w:eastAsia="Times New Roman" w:hAnsi="Arial" w:cs="Arial"/>
                <w:b/>
                <w:color w:val="000000"/>
                <w:sz w:val="20"/>
                <w:szCs w:val="20"/>
                <w:lang w:eastAsia="es-CO"/>
              </w:rPr>
              <w:t>estratégico</w:t>
            </w:r>
            <w:r w:rsidRPr="000347DA">
              <w:rPr>
                <w:rFonts w:ascii="Arial" w:eastAsia="Times New Roman" w:hAnsi="Arial" w:cs="Arial"/>
                <w:b/>
                <w:color w:val="000000"/>
                <w:sz w:val="20"/>
                <w:szCs w:val="20"/>
                <w:lang w:eastAsia="es-CO"/>
              </w:rPr>
              <w:t xml:space="preserve"> 4:</w:t>
            </w:r>
            <w:r w:rsidRPr="000347DA">
              <w:rPr>
                <w:rFonts w:ascii="Arial" w:eastAsia="Times New Roman" w:hAnsi="Arial" w:cs="Arial"/>
                <w:color w:val="000000"/>
                <w:sz w:val="20"/>
                <w:szCs w:val="20"/>
                <w:lang w:eastAsia="es-CO"/>
              </w:rPr>
              <w:t xml:space="preserve"> Consolidar el modelo de gestión para optimizar el desempeño institucional, la articulación interinstitucional y el uso de los recursos físicos, financieros, tecnológicos y humanos.</w:t>
            </w:r>
          </w:p>
        </w:tc>
        <w:tc>
          <w:tcPr>
            <w:tcW w:w="766" w:type="pct"/>
            <w:tcBorders>
              <w:top w:val="nil"/>
              <w:left w:val="nil"/>
              <w:bottom w:val="single" w:sz="4" w:space="0" w:color="auto"/>
              <w:right w:val="single" w:sz="4" w:space="0" w:color="auto"/>
            </w:tcBorders>
            <w:shd w:val="clear" w:color="auto" w:fill="auto"/>
            <w:noWrap/>
            <w:vAlign w:val="center"/>
            <w:hideMark/>
          </w:tcPr>
          <w:p w14:paraId="2E083EE7"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28</w:t>
            </w:r>
          </w:p>
        </w:tc>
        <w:tc>
          <w:tcPr>
            <w:tcW w:w="392" w:type="pct"/>
            <w:tcBorders>
              <w:top w:val="nil"/>
              <w:left w:val="nil"/>
              <w:bottom w:val="single" w:sz="4" w:space="0" w:color="auto"/>
              <w:right w:val="single" w:sz="4" w:space="0" w:color="auto"/>
            </w:tcBorders>
            <w:shd w:val="clear" w:color="auto" w:fill="auto"/>
            <w:noWrap/>
            <w:vAlign w:val="center"/>
            <w:hideMark/>
          </w:tcPr>
          <w:p w14:paraId="0D61F18C" w14:textId="77777777" w:rsidR="000347DA" w:rsidRPr="000347DA" w:rsidRDefault="000347DA" w:rsidP="000347DA">
            <w:pPr>
              <w:spacing w:line="240" w:lineRule="auto"/>
              <w:jc w:val="center"/>
              <w:rPr>
                <w:rFonts w:ascii="Arial" w:eastAsia="Times New Roman" w:hAnsi="Arial" w:cs="Arial"/>
                <w:color w:val="000000"/>
                <w:sz w:val="20"/>
                <w:szCs w:val="20"/>
                <w:lang w:eastAsia="es-CO"/>
              </w:rPr>
            </w:pPr>
            <w:r w:rsidRPr="000347DA">
              <w:rPr>
                <w:rFonts w:ascii="Arial" w:eastAsia="Times New Roman" w:hAnsi="Arial" w:cs="Arial"/>
                <w:color w:val="000000"/>
                <w:sz w:val="20"/>
                <w:szCs w:val="20"/>
                <w:lang w:eastAsia="es-CO"/>
              </w:rPr>
              <w:t>36%</w:t>
            </w:r>
          </w:p>
        </w:tc>
      </w:tr>
      <w:tr w:rsidR="000347DA" w:rsidRPr="000347DA" w14:paraId="5BE6FBF7" w14:textId="77777777" w:rsidTr="000347DA">
        <w:trPr>
          <w:trHeight w:val="300"/>
        </w:trPr>
        <w:tc>
          <w:tcPr>
            <w:tcW w:w="3842" w:type="pct"/>
            <w:tcBorders>
              <w:top w:val="nil"/>
              <w:left w:val="single" w:sz="4" w:space="0" w:color="auto"/>
              <w:bottom w:val="single" w:sz="4" w:space="0" w:color="auto"/>
              <w:right w:val="single" w:sz="4" w:space="0" w:color="auto"/>
            </w:tcBorders>
            <w:shd w:val="clear" w:color="000000" w:fill="70AD47"/>
            <w:vAlign w:val="bottom"/>
            <w:hideMark/>
          </w:tcPr>
          <w:p w14:paraId="17059805" w14:textId="77777777" w:rsidR="000347DA" w:rsidRPr="000347DA" w:rsidRDefault="000347DA" w:rsidP="000347DA">
            <w:pPr>
              <w:spacing w:line="240" w:lineRule="auto"/>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Total indicadores Plan de Acción 2020</w:t>
            </w:r>
          </w:p>
        </w:tc>
        <w:tc>
          <w:tcPr>
            <w:tcW w:w="766" w:type="pct"/>
            <w:tcBorders>
              <w:top w:val="nil"/>
              <w:left w:val="nil"/>
              <w:bottom w:val="single" w:sz="4" w:space="0" w:color="auto"/>
              <w:right w:val="single" w:sz="4" w:space="0" w:color="auto"/>
            </w:tcBorders>
            <w:shd w:val="clear" w:color="000000" w:fill="70AD47"/>
            <w:noWrap/>
            <w:vAlign w:val="center"/>
            <w:hideMark/>
          </w:tcPr>
          <w:p w14:paraId="4CA5AF57" w14:textId="77777777" w:rsidR="000347DA" w:rsidRPr="000347DA" w:rsidRDefault="000347DA" w:rsidP="000347DA">
            <w:pPr>
              <w:spacing w:line="240" w:lineRule="auto"/>
              <w:jc w:val="center"/>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78</w:t>
            </w:r>
          </w:p>
        </w:tc>
        <w:tc>
          <w:tcPr>
            <w:tcW w:w="392" w:type="pct"/>
            <w:tcBorders>
              <w:top w:val="nil"/>
              <w:left w:val="nil"/>
              <w:bottom w:val="single" w:sz="4" w:space="0" w:color="auto"/>
              <w:right w:val="single" w:sz="4" w:space="0" w:color="auto"/>
            </w:tcBorders>
            <w:shd w:val="clear" w:color="000000" w:fill="70AD47"/>
            <w:noWrap/>
            <w:vAlign w:val="bottom"/>
            <w:hideMark/>
          </w:tcPr>
          <w:p w14:paraId="0B447270" w14:textId="77777777" w:rsidR="000347DA" w:rsidRPr="000347DA" w:rsidRDefault="000347DA" w:rsidP="000347DA">
            <w:pPr>
              <w:spacing w:line="240" w:lineRule="auto"/>
              <w:jc w:val="right"/>
              <w:rPr>
                <w:rFonts w:ascii="Arial" w:eastAsia="Times New Roman" w:hAnsi="Arial" w:cs="Arial"/>
                <w:b/>
                <w:bCs/>
                <w:color w:val="FFFFFF"/>
                <w:sz w:val="20"/>
                <w:szCs w:val="20"/>
                <w:lang w:eastAsia="es-CO"/>
              </w:rPr>
            </w:pPr>
            <w:r w:rsidRPr="000347DA">
              <w:rPr>
                <w:rFonts w:ascii="Arial" w:eastAsia="Times New Roman" w:hAnsi="Arial" w:cs="Arial"/>
                <w:b/>
                <w:bCs/>
                <w:color w:val="FFFFFF"/>
                <w:sz w:val="20"/>
                <w:szCs w:val="20"/>
                <w:lang w:eastAsia="es-CO"/>
              </w:rPr>
              <w:t>100%</w:t>
            </w:r>
          </w:p>
        </w:tc>
      </w:tr>
    </w:tbl>
    <w:p w14:paraId="0C630603" w14:textId="2E60F24F" w:rsidR="00B51242" w:rsidRPr="0078284D" w:rsidRDefault="0078284D" w:rsidP="004B5F80">
      <w:pPr>
        <w:jc w:val="both"/>
        <w:rPr>
          <w:rFonts w:ascii="Arial" w:eastAsia="Calibri" w:hAnsi="Arial" w:cs="Arial"/>
          <w:sz w:val="24"/>
          <w:szCs w:val="24"/>
        </w:rPr>
      </w:pPr>
      <w:r w:rsidRPr="0078284D">
        <w:rPr>
          <w:rFonts w:ascii="Arial" w:hAnsi="Arial" w:cs="Arial"/>
          <w:bCs/>
          <w:sz w:val="16"/>
          <w:szCs w:val="16"/>
        </w:rPr>
        <w:t xml:space="preserve">Fuente: </w:t>
      </w:r>
      <w:r>
        <w:rPr>
          <w:rFonts w:ascii="Arial" w:hAnsi="Arial" w:cs="Arial"/>
          <w:sz w:val="16"/>
          <w:szCs w:val="16"/>
        </w:rPr>
        <w:t>Matriz Plan de Acción 2020</w:t>
      </w:r>
      <w:r w:rsidRPr="0078284D">
        <w:rPr>
          <w:rFonts w:ascii="Arial" w:hAnsi="Arial" w:cs="Arial"/>
          <w:sz w:val="16"/>
          <w:szCs w:val="16"/>
        </w:rPr>
        <w:t>. Elaboración propia.</w:t>
      </w:r>
    </w:p>
    <w:p w14:paraId="4DEA4F05" w14:textId="77777777" w:rsidR="00B51242" w:rsidRDefault="00B51242" w:rsidP="004B5F80">
      <w:pPr>
        <w:jc w:val="both"/>
        <w:rPr>
          <w:rFonts w:ascii="Arial" w:eastAsia="Calibri" w:hAnsi="Arial" w:cs="Arial"/>
          <w:sz w:val="24"/>
          <w:szCs w:val="24"/>
        </w:rPr>
      </w:pPr>
    </w:p>
    <w:p w14:paraId="30E659EB" w14:textId="77777777" w:rsidR="00B51242" w:rsidRDefault="00B51242" w:rsidP="004B5F80">
      <w:pPr>
        <w:jc w:val="both"/>
        <w:rPr>
          <w:rFonts w:ascii="Arial" w:eastAsia="Calibri" w:hAnsi="Arial" w:cs="Arial"/>
          <w:sz w:val="24"/>
          <w:szCs w:val="24"/>
        </w:rPr>
      </w:pPr>
    </w:p>
    <w:p w14:paraId="203B97BF" w14:textId="77777777" w:rsidR="00DF05D3" w:rsidRDefault="00DF05D3" w:rsidP="004B5F80">
      <w:pPr>
        <w:jc w:val="both"/>
        <w:rPr>
          <w:rFonts w:ascii="Arial" w:eastAsia="Calibri" w:hAnsi="Arial" w:cs="Arial"/>
          <w:sz w:val="24"/>
          <w:szCs w:val="24"/>
        </w:rPr>
      </w:pPr>
    </w:p>
    <w:p w14:paraId="29394132" w14:textId="77777777" w:rsidR="00DF05D3" w:rsidRDefault="00DF05D3" w:rsidP="004B5F80">
      <w:pPr>
        <w:jc w:val="both"/>
        <w:rPr>
          <w:rFonts w:ascii="Arial" w:eastAsia="Calibri" w:hAnsi="Arial" w:cs="Arial"/>
          <w:sz w:val="24"/>
          <w:szCs w:val="24"/>
        </w:rPr>
      </w:pPr>
    </w:p>
    <w:p w14:paraId="1486E798" w14:textId="77777777" w:rsidR="00DF05D3" w:rsidRDefault="00DF05D3" w:rsidP="004B5F80">
      <w:pPr>
        <w:jc w:val="both"/>
        <w:rPr>
          <w:rFonts w:ascii="Arial" w:eastAsia="Calibri" w:hAnsi="Arial" w:cs="Arial"/>
          <w:sz w:val="24"/>
          <w:szCs w:val="24"/>
        </w:rPr>
      </w:pPr>
    </w:p>
    <w:p w14:paraId="166F7030" w14:textId="77777777" w:rsidR="00DF05D3" w:rsidRDefault="00DF05D3" w:rsidP="004B5F80">
      <w:pPr>
        <w:jc w:val="both"/>
        <w:rPr>
          <w:rFonts w:ascii="Arial" w:eastAsia="Calibri" w:hAnsi="Arial" w:cs="Arial"/>
          <w:sz w:val="24"/>
          <w:szCs w:val="24"/>
        </w:rPr>
      </w:pPr>
    </w:p>
    <w:p w14:paraId="4C2F9D3B" w14:textId="77777777" w:rsidR="00DF05D3" w:rsidRDefault="00DF05D3" w:rsidP="004B5F80">
      <w:pPr>
        <w:jc w:val="both"/>
        <w:rPr>
          <w:rFonts w:ascii="Arial" w:eastAsia="Calibri" w:hAnsi="Arial" w:cs="Arial"/>
          <w:sz w:val="24"/>
          <w:szCs w:val="24"/>
        </w:rPr>
      </w:pPr>
    </w:p>
    <w:p w14:paraId="2EC2A128" w14:textId="0C795E08" w:rsidR="00DF05D3" w:rsidRDefault="00DF05D3" w:rsidP="00DF05D3">
      <w:pPr>
        <w:autoSpaceDE w:val="0"/>
        <w:autoSpaceDN w:val="0"/>
        <w:adjustRightInd w:val="0"/>
        <w:spacing w:line="240" w:lineRule="auto"/>
        <w:jc w:val="both"/>
        <w:rPr>
          <w:rFonts w:ascii="Arial" w:hAnsi="Arial" w:cs="Arial"/>
          <w:color w:val="000000"/>
          <w:sz w:val="24"/>
          <w:szCs w:val="24"/>
        </w:rPr>
      </w:pPr>
      <w:r w:rsidRPr="00DF05D3">
        <w:rPr>
          <w:rFonts w:ascii="Arial" w:hAnsi="Arial" w:cs="Arial"/>
          <w:color w:val="000000"/>
          <w:sz w:val="24"/>
          <w:szCs w:val="24"/>
        </w:rPr>
        <w:t xml:space="preserve">Ahora bien, realizada la aclaración anterior, podemos observar en la Gráfica N°1, que el mayor porcentaje de cumplimiento se da en las Líneas Estratégicas 2 y 3, que reportan un </w:t>
      </w:r>
      <w:r w:rsidRPr="006B34C6">
        <w:rPr>
          <w:rFonts w:ascii="Arial" w:hAnsi="Arial" w:cs="Arial"/>
          <w:color w:val="000000"/>
          <w:sz w:val="24"/>
          <w:szCs w:val="24"/>
        </w:rPr>
        <w:t xml:space="preserve">avance del </w:t>
      </w:r>
      <w:r w:rsidR="00EF6272">
        <w:rPr>
          <w:rFonts w:ascii="Arial" w:hAnsi="Arial" w:cs="Arial"/>
          <w:color w:val="000000"/>
          <w:sz w:val="24"/>
          <w:szCs w:val="24"/>
        </w:rPr>
        <w:t>17% y 34</w:t>
      </w:r>
      <w:r w:rsidR="006B34C6" w:rsidRPr="006B34C6">
        <w:rPr>
          <w:rFonts w:ascii="Arial" w:hAnsi="Arial" w:cs="Arial"/>
          <w:color w:val="000000"/>
          <w:sz w:val="24"/>
          <w:szCs w:val="24"/>
        </w:rPr>
        <w:t>%, respectivamente</w:t>
      </w:r>
      <w:r w:rsidRPr="006B34C6">
        <w:rPr>
          <w:rFonts w:ascii="Arial" w:hAnsi="Arial" w:cs="Arial"/>
          <w:color w:val="000000"/>
          <w:sz w:val="24"/>
          <w:szCs w:val="24"/>
        </w:rPr>
        <w:t xml:space="preserve">. Por su parte, la Línea Estratégica 1, reportó un </w:t>
      </w:r>
      <w:r w:rsidR="00E41C67">
        <w:rPr>
          <w:rFonts w:ascii="Arial" w:hAnsi="Arial" w:cs="Arial"/>
          <w:color w:val="000000"/>
          <w:sz w:val="24"/>
          <w:szCs w:val="24"/>
        </w:rPr>
        <w:t>7</w:t>
      </w:r>
      <w:r w:rsidR="00047DDE">
        <w:rPr>
          <w:rFonts w:ascii="Arial" w:hAnsi="Arial" w:cs="Arial"/>
          <w:color w:val="000000"/>
          <w:sz w:val="24"/>
          <w:szCs w:val="24"/>
        </w:rPr>
        <w:t>% de cumplimiento.</w:t>
      </w:r>
    </w:p>
    <w:p w14:paraId="232056E8" w14:textId="77777777" w:rsidR="00047DDE" w:rsidRDefault="00047DDE" w:rsidP="00DF05D3">
      <w:pPr>
        <w:autoSpaceDE w:val="0"/>
        <w:autoSpaceDN w:val="0"/>
        <w:adjustRightInd w:val="0"/>
        <w:spacing w:line="240" w:lineRule="auto"/>
        <w:jc w:val="both"/>
        <w:rPr>
          <w:rFonts w:ascii="Arial" w:hAnsi="Arial" w:cs="Arial"/>
          <w:color w:val="000000"/>
          <w:sz w:val="24"/>
          <w:szCs w:val="24"/>
        </w:rPr>
      </w:pPr>
    </w:p>
    <w:p w14:paraId="14649EE9" w14:textId="3C2840D1" w:rsidR="00DF05D3" w:rsidRPr="009C3027" w:rsidRDefault="00DF05D3" w:rsidP="00DF05D3">
      <w:pPr>
        <w:autoSpaceDE w:val="0"/>
        <w:autoSpaceDN w:val="0"/>
        <w:adjustRightInd w:val="0"/>
        <w:spacing w:line="240" w:lineRule="auto"/>
        <w:jc w:val="center"/>
        <w:rPr>
          <w:rFonts w:ascii="Arial" w:hAnsi="Arial" w:cs="Arial"/>
          <w:b/>
          <w:color w:val="000000"/>
          <w:sz w:val="24"/>
          <w:szCs w:val="24"/>
        </w:rPr>
      </w:pPr>
      <w:r w:rsidRPr="009C3027">
        <w:rPr>
          <w:rFonts w:ascii="Arial" w:hAnsi="Arial" w:cs="Arial"/>
          <w:b/>
          <w:color w:val="000000"/>
          <w:sz w:val="24"/>
          <w:szCs w:val="24"/>
        </w:rPr>
        <w:t>Gráfica 1. Porcentaje de avance por Línea Estratégica - I Trimestre 2020</w:t>
      </w:r>
    </w:p>
    <w:p w14:paraId="7BAD58BD" w14:textId="41034832" w:rsidR="00DF05D3" w:rsidRDefault="007A7E75" w:rsidP="00DF05D3">
      <w:pPr>
        <w:autoSpaceDE w:val="0"/>
        <w:autoSpaceDN w:val="0"/>
        <w:adjustRightInd w:val="0"/>
        <w:spacing w:line="240" w:lineRule="auto"/>
        <w:jc w:val="center"/>
        <w:rPr>
          <w:rFonts w:ascii="Arial" w:hAnsi="Arial" w:cs="Arial"/>
          <w:color w:val="000000"/>
          <w:sz w:val="24"/>
          <w:szCs w:val="24"/>
        </w:rPr>
      </w:pPr>
      <w:r>
        <w:rPr>
          <w:noProof/>
          <w:lang w:eastAsia="es-CO"/>
        </w:rPr>
        <w:drawing>
          <wp:inline distT="0" distB="0" distL="0" distR="0" wp14:anchorId="35F58420" wp14:editId="29F68AA6">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256256" w14:textId="22224310" w:rsidR="009C3027" w:rsidRPr="0078284D" w:rsidRDefault="009C3027" w:rsidP="00760BC8">
      <w:pPr>
        <w:jc w:val="center"/>
        <w:rPr>
          <w:rFonts w:ascii="Arial" w:eastAsia="Calibri" w:hAnsi="Arial" w:cs="Arial"/>
          <w:sz w:val="24"/>
          <w:szCs w:val="24"/>
        </w:rPr>
      </w:pPr>
      <w:r w:rsidRPr="0078284D">
        <w:rPr>
          <w:rFonts w:ascii="Arial" w:hAnsi="Arial" w:cs="Arial"/>
          <w:bCs/>
          <w:sz w:val="16"/>
          <w:szCs w:val="16"/>
        </w:rPr>
        <w:t xml:space="preserve">Fuente: </w:t>
      </w:r>
      <w:r>
        <w:rPr>
          <w:rFonts w:ascii="Arial" w:hAnsi="Arial" w:cs="Arial"/>
          <w:sz w:val="16"/>
          <w:szCs w:val="16"/>
        </w:rPr>
        <w:t xml:space="preserve">Cifras </w:t>
      </w:r>
      <w:proofErr w:type="spellStart"/>
      <w:r>
        <w:rPr>
          <w:rFonts w:ascii="Arial" w:hAnsi="Arial" w:cs="Arial"/>
          <w:sz w:val="16"/>
          <w:szCs w:val="16"/>
        </w:rPr>
        <w:t>Isolución</w:t>
      </w:r>
      <w:proofErr w:type="spellEnd"/>
      <w:r>
        <w:rPr>
          <w:rFonts w:ascii="Arial" w:hAnsi="Arial" w:cs="Arial"/>
          <w:sz w:val="16"/>
          <w:szCs w:val="16"/>
        </w:rPr>
        <w:t xml:space="preserve"> enero- marzo  2020</w:t>
      </w:r>
    </w:p>
    <w:p w14:paraId="7BEA7F5F" w14:textId="77777777" w:rsidR="009C3027" w:rsidRDefault="009C3027" w:rsidP="00DF05D3">
      <w:pPr>
        <w:autoSpaceDE w:val="0"/>
        <w:autoSpaceDN w:val="0"/>
        <w:adjustRightInd w:val="0"/>
        <w:spacing w:line="240" w:lineRule="auto"/>
        <w:jc w:val="center"/>
        <w:rPr>
          <w:rFonts w:ascii="Arial" w:hAnsi="Arial" w:cs="Arial"/>
          <w:color w:val="000000"/>
          <w:sz w:val="24"/>
          <w:szCs w:val="24"/>
        </w:rPr>
      </w:pPr>
    </w:p>
    <w:p w14:paraId="5E181BCD"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5DEF61C2"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43864AF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1F68009"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389A8361"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AAEFD3A"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46355D81"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085109FD"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27F8E682"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2AFDA87"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26A8A87F"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2F54D3E0"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6450F3A4"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109FCE6C"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5DBEB1AA"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77B2BBF1" w14:textId="77777777" w:rsidR="00047DDE" w:rsidRDefault="00047DDE" w:rsidP="00DF05D3">
      <w:pPr>
        <w:autoSpaceDE w:val="0"/>
        <w:autoSpaceDN w:val="0"/>
        <w:adjustRightInd w:val="0"/>
        <w:spacing w:line="240" w:lineRule="auto"/>
        <w:jc w:val="center"/>
        <w:rPr>
          <w:rFonts w:ascii="Arial" w:hAnsi="Arial" w:cs="Arial"/>
          <w:color w:val="000000"/>
          <w:sz w:val="24"/>
          <w:szCs w:val="24"/>
        </w:rPr>
      </w:pPr>
    </w:p>
    <w:p w14:paraId="7F5F2396"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7FE53AAF"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18093BE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354B7E7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2C3F262C"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0BD0AF71" w14:textId="4F8BB3CB" w:rsidR="0023455E" w:rsidRPr="00B51242" w:rsidRDefault="0023455E" w:rsidP="0023455E">
      <w:pPr>
        <w:autoSpaceDE w:val="0"/>
        <w:autoSpaceDN w:val="0"/>
        <w:adjustRightInd w:val="0"/>
        <w:spacing w:line="240" w:lineRule="auto"/>
        <w:rPr>
          <w:rFonts w:ascii="Arial" w:hAnsi="Arial" w:cs="Arial"/>
          <w:b/>
          <w:bCs/>
          <w:color w:val="538135" w:themeColor="accent6" w:themeShade="BF"/>
          <w:sz w:val="24"/>
          <w:szCs w:val="24"/>
        </w:rPr>
      </w:pPr>
      <w:r>
        <w:rPr>
          <w:rFonts w:ascii="Arial" w:hAnsi="Arial" w:cs="Arial"/>
          <w:b/>
          <w:bCs/>
          <w:color w:val="538135" w:themeColor="accent6" w:themeShade="BF"/>
          <w:sz w:val="24"/>
          <w:szCs w:val="24"/>
        </w:rPr>
        <w:t>EJECUCIÓN PRESUPUESTAL</w:t>
      </w:r>
    </w:p>
    <w:p w14:paraId="0DA82D65" w14:textId="77777777" w:rsidR="0023455E" w:rsidRDefault="0023455E" w:rsidP="00DF05D3">
      <w:pPr>
        <w:autoSpaceDE w:val="0"/>
        <w:autoSpaceDN w:val="0"/>
        <w:adjustRightInd w:val="0"/>
        <w:spacing w:line="240" w:lineRule="auto"/>
        <w:jc w:val="center"/>
        <w:rPr>
          <w:rFonts w:ascii="Arial" w:hAnsi="Arial" w:cs="Arial"/>
          <w:color w:val="000000"/>
          <w:sz w:val="24"/>
          <w:szCs w:val="24"/>
        </w:rPr>
      </w:pPr>
    </w:p>
    <w:p w14:paraId="74BAAD25" w14:textId="79848486" w:rsidR="00D222D1" w:rsidRDefault="00FD167F" w:rsidP="00FD167F">
      <w:pPr>
        <w:autoSpaceDE w:val="0"/>
        <w:autoSpaceDN w:val="0"/>
        <w:adjustRightInd w:val="0"/>
        <w:spacing w:line="240" w:lineRule="auto"/>
        <w:jc w:val="both"/>
        <w:rPr>
          <w:rFonts w:ascii="Arial" w:hAnsi="Arial" w:cs="Arial"/>
          <w:sz w:val="24"/>
          <w:szCs w:val="24"/>
        </w:rPr>
      </w:pPr>
      <w:r w:rsidRPr="005E3D48">
        <w:rPr>
          <w:rFonts w:ascii="Arial" w:hAnsi="Arial" w:cs="Arial"/>
          <w:sz w:val="24"/>
          <w:szCs w:val="24"/>
        </w:rPr>
        <w:t xml:space="preserve">Mediante el Decreto de Liquidación 2411 del 31 de diciembre de 2019, el presupuesto asignado a la Agencia de Desarrollo Rural para la vigencia 2020 fue por valor </w:t>
      </w:r>
      <w:r w:rsidR="005E3D48" w:rsidRPr="004B5823">
        <w:rPr>
          <w:rFonts w:ascii="Arial" w:hAnsi="Arial" w:cs="Arial"/>
          <w:sz w:val="24"/>
          <w:szCs w:val="24"/>
        </w:rPr>
        <w:t>de $230.836 millones distribuidos en $35.936</w:t>
      </w:r>
      <w:r w:rsidRPr="004B5823">
        <w:rPr>
          <w:rFonts w:ascii="Arial" w:hAnsi="Arial" w:cs="Arial"/>
          <w:sz w:val="24"/>
          <w:szCs w:val="24"/>
        </w:rPr>
        <w:t xml:space="preserve"> millones para</w:t>
      </w:r>
      <w:r w:rsidR="005E3D48" w:rsidRPr="004B5823">
        <w:rPr>
          <w:rFonts w:ascii="Arial" w:hAnsi="Arial" w:cs="Arial"/>
          <w:sz w:val="24"/>
          <w:szCs w:val="24"/>
        </w:rPr>
        <w:t xml:space="preserve"> gastos de funcionamiento y $194.900</w:t>
      </w:r>
      <w:r w:rsidRPr="004B5823">
        <w:rPr>
          <w:rFonts w:ascii="Arial" w:hAnsi="Arial" w:cs="Arial"/>
          <w:sz w:val="24"/>
          <w:szCs w:val="24"/>
        </w:rPr>
        <w:t xml:space="preserve"> millones para </w:t>
      </w:r>
      <w:r w:rsidR="00A6539D" w:rsidRPr="004B5823">
        <w:rPr>
          <w:rFonts w:ascii="Arial" w:hAnsi="Arial" w:cs="Arial"/>
          <w:sz w:val="24"/>
          <w:szCs w:val="24"/>
        </w:rPr>
        <w:t>inversión</w:t>
      </w:r>
      <w:r w:rsidR="00A6539D">
        <w:rPr>
          <w:rFonts w:ascii="Arial" w:hAnsi="Arial" w:cs="Arial"/>
          <w:sz w:val="24"/>
          <w:szCs w:val="24"/>
        </w:rPr>
        <w:t>. Sin</w:t>
      </w:r>
      <w:r w:rsidR="005F5AD2">
        <w:rPr>
          <w:rFonts w:ascii="Arial" w:hAnsi="Arial" w:cs="Arial"/>
          <w:sz w:val="24"/>
          <w:szCs w:val="24"/>
        </w:rPr>
        <w:t xml:space="preserve"> embargo, en el mes de</w:t>
      </w:r>
      <w:r w:rsidR="004B5823">
        <w:rPr>
          <w:rFonts w:ascii="Arial" w:hAnsi="Arial" w:cs="Arial"/>
          <w:sz w:val="24"/>
          <w:szCs w:val="24"/>
        </w:rPr>
        <w:t xml:space="preserve"> marzo se presentó un bloqueo por</w:t>
      </w:r>
      <w:r w:rsidR="005F5AD2">
        <w:rPr>
          <w:rFonts w:ascii="Arial" w:hAnsi="Arial" w:cs="Arial"/>
          <w:sz w:val="24"/>
          <w:szCs w:val="24"/>
        </w:rPr>
        <w:t xml:space="preserve"> $111.428 millones,</w:t>
      </w:r>
      <w:r w:rsidRPr="005E3D48">
        <w:rPr>
          <w:rFonts w:ascii="Arial" w:hAnsi="Arial" w:cs="Arial"/>
          <w:sz w:val="24"/>
          <w:szCs w:val="24"/>
        </w:rPr>
        <w:t xml:space="preserve"> tal </w:t>
      </w:r>
      <w:r w:rsidR="004B5823">
        <w:rPr>
          <w:rFonts w:ascii="Arial" w:hAnsi="Arial" w:cs="Arial"/>
          <w:sz w:val="24"/>
          <w:szCs w:val="24"/>
        </w:rPr>
        <w:t xml:space="preserve">y </w:t>
      </w:r>
      <w:r w:rsidRPr="005E3D48">
        <w:rPr>
          <w:rFonts w:ascii="Arial" w:hAnsi="Arial" w:cs="Arial"/>
          <w:sz w:val="24"/>
          <w:szCs w:val="24"/>
        </w:rPr>
        <w:t>como se muestra a continuación:</w:t>
      </w:r>
    </w:p>
    <w:p w14:paraId="785C5C61" w14:textId="77777777" w:rsidR="00A6539D" w:rsidRDefault="00A6539D" w:rsidP="00FD167F">
      <w:pPr>
        <w:autoSpaceDE w:val="0"/>
        <w:autoSpaceDN w:val="0"/>
        <w:adjustRightInd w:val="0"/>
        <w:spacing w:line="240" w:lineRule="auto"/>
        <w:jc w:val="both"/>
        <w:rPr>
          <w:rFonts w:ascii="Arial" w:hAnsi="Arial" w:cs="Arial"/>
          <w:color w:val="000000"/>
          <w:sz w:val="24"/>
          <w:szCs w:val="24"/>
        </w:rPr>
      </w:pPr>
    </w:p>
    <w:p w14:paraId="38916971" w14:textId="7CE2033B" w:rsidR="00D222D1" w:rsidRPr="00A6539D" w:rsidRDefault="00A6539D" w:rsidP="00DF05D3">
      <w:pPr>
        <w:autoSpaceDE w:val="0"/>
        <w:autoSpaceDN w:val="0"/>
        <w:adjustRightInd w:val="0"/>
        <w:spacing w:line="240" w:lineRule="auto"/>
        <w:jc w:val="center"/>
        <w:rPr>
          <w:rFonts w:ascii="Arial" w:hAnsi="Arial" w:cs="Arial"/>
          <w:b/>
          <w:color w:val="000000"/>
          <w:sz w:val="24"/>
          <w:szCs w:val="24"/>
        </w:rPr>
      </w:pPr>
      <w:r w:rsidRPr="00A6539D">
        <w:rPr>
          <w:rFonts w:ascii="Arial" w:hAnsi="Arial" w:cs="Arial"/>
          <w:b/>
          <w:color w:val="000000"/>
          <w:sz w:val="24"/>
          <w:szCs w:val="24"/>
        </w:rPr>
        <w:t>Tabla 2. Ejecución presupuestal a 31 de marzo de 2020</w:t>
      </w:r>
    </w:p>
    <w:p w14:paraId="05A2DBFC" w14:textId="52ED6584" w:rsidR="00A6539D" w:rsidRPr="00A6539D" w:rsidRDefault="00A6539D" w:rsidP="00DF05D3">
      <w:pPr>
        <w:autoSpaceDE w:val="0"/>
        <w:autoSpaceDN w:val="0"/>
        <w:adjustRightInd w:val="0"/>
        <w:spacing w:line="240" w:lineRule="auto"/>
        <w:jc w:val="center"/>
        <w:rPr>
          <w:rFonts w:ascii="Arial" w:hAnsi="Arial" w:cs="Arial"/>
          <w:b/>
          <w:color w:val="000000"/>
          <w:sz w:val="24"/>
          <w:szCs w:val="24"/>
        </w:rPr>
      </w:pPr>
      <w:r w:rsidRPr="00A6539D">
        <w:rPr>
          <w:rFonts w:ascii="Arial" w:hAnsi="Arial" w:cs="Arial"/>
          <w:b/>
          <w:color w:val="000000"/>
          <w:sz w:val="24"/>
          <w:szCs w:val="24"/>
        </w:rPr>
        <w:t>(Cifras en millones de pesos)</w:t>
      </w:r>
    </w:p>
    <w:tbl>
      <w:tblPr>
        <w:tblW w:w="5091" w:type="pct"/>
        <w:tblLayout w:type="fixed"/>
        <w:tblCellMar>
          <w:left w:w="70" w:type="dxa"/>
          <w:right w:w="70" w:type="dxa"/>
        </w:tblCellMar>
        <w:tblLook w:val="04A0" w:firstRow="1" w:lastRow="0" w:firstColumn="1" w:lastColumn="0" w:noHBand="0" w:noVBand="1"/>
      </w:tblPr>
      <w:tblGrid>
        <w:gridCol w:w="1570"/>
        <w:gridCol w:w="1261"/>
        <w:gridCol w:w="870"/>
        <w:gridCol w:w="1418"/>
        <w:gridCol w:w="1399"/>
        <w:gridCol w:w="1276"/>
        <w:gridCol w:w="566"/>
        <w:gridCol w:w="629"/>
      </w:tblGrid>
      <w:tr w:rsidR="00B56647" w:rsidRPr="005F5AD2" w14:paraId="02CD89DA" w14:textId="77777777" w:rsidTr="00A6539D">
        <w:trPr>
          <w:trHeight w:val="465"/>
        </w:trPr>
        <w:tc>
          <w:tcPr>
            <w:tcW w:w="873" w:type="pct"/>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4FD6B337" w14:textId="77777777" w:rsidR="005F5AD2" w:rsidRPr="00B56647" w:rsidRDefault="005F5AD2" w:rsidP="005F5AD2">
            <w:pPr>
              <w:spacing w:line="240" w:lineRule="auto"/>
              <w:jc w:val="center"/>
              <w:rPr>
                <w:rFonts w:ascii="Arial" w:eastAsia="Times New Roman" w:hAnsi="Arial" w:cs="Arial"/>
                <w:b/>
                <w:bCs/>
                <w:color w:val="FFFFFF"/>
                <w:sz w:val="18"/>
                <w:szCs w:val="18"/>
                <w:lang w:eastAsia="es-CO"/>
              </w:rPr>
            </w:pPr>
            <w:r w:rsidRPr="00B56647">
              <w:rPr>
                <w:rFonts w:ascii="Arial" w:eastAsia="Times New Roman" w:hAnsi="Arial" w:cs="Arial"/>
                <w:b/>
                <w:bCs/>
                <w:color w:val="FFFFFF"/>
                <w:sz w:val="18"/>
                <w:szCs w:val="18"/>
                <w:lang w:eastAsia="es-CO"/>
              </w:rPr>
              <w:t>Concepto</w:t>
            </w:r>
          </w:p>
        </w:tc>
        <w:tc>
          <w:tcPr>
            <w:tcW w:w="701" w:type="pct"/>
            <w:tcBorders>
              <w:top w:val="single" w:sz="4" w:space="0" w:color="auto"/>
              <w:left w:val="nil"/>
              <w:bottom w:val="single" w:sz="4" w:space="0" w:color="auto"/>
              <w:right w:val="single" w:sz="4" w:space="0" w:color="auto"/>
            </w:tcBorders>
            <w:shd w:val="clear" w:color="000000" w:fill="70AD47"/>
            <w:vAlign w:val="center"/>
            <w:hideMark/>
          </w:tcPr>
          <w:p w14:paraId="7AA62556" w14:textId="77777777" w:rsidR="005F5AD2" w:rsidRPr="00B56647" w:rsidRDefault="005F5AD2" w:rsidP="005F5AD2">
            <w:pPr>
              <w:spacing w:line="240" w:lineRule="auto"/>
              <w:jc w:val="center"/>
              <w:rPr>
                <w:rFonts w:ascii="Arial" w:eastAsia="Times New Roman" w:hAnsi="Arial" w:cs="Arial"/>
                <w:b/>
                <w:bCs/>
                <w:color w:val="FFFFFF"/>
                <w:sz w:val="18"/>
                <w:szCs w:val="18"/>
                <w:lang w:eastAsia="es-CO"/>
              </w:rPr>
            </w:pPr>
            <w:r w:rsidRPr="00B56647">
              <w:rPr>
                <w:rFonts w:ascii="Arial" w:eastAsia="Times New Roman" w:hAnsi="Arial" w:cs="Arial"/>
                <w:b/>
                <w:bCs/>
                <w:color w:val="FFFFFF"/>
                <w:sz w:val="18"/>
                <w:szCs w:val="18"/>
                <w:lang w:eastAsia="es-CO"/>
              </w:rPr>
              <w:t>Apropiación</w:t>
            </w:r>
            <w:r w:rsidRPr="00B56647">
              <w:rPr>
                <w:rFonts w:ascii="Arial" w:eastAsia="Times New Roman" w:hAnsi="Arial" w:cs="Arial"/>
                <w:b/>
                <w:bCs/>
                <w:color w:val="FFFFFF"/>
                <w:sz w:val="18"/>
                <w:szCs w:val="18"/>
                <w:lang w:eastAsia="es-CO"/>
              </w:rPr>
              <w:br/>
              <w:t>inicial</w:t>
            </w:r>
          </w:p>
        </w:tc>
        <w:tc>
          <w:tcPr>
            <w:tcW w:w="484" w:type="pct"/>
            <w:tcBorders>
              <w:top w:val="single" w:sz="4" w:space="0" w:color="auto"/>
              <w:left w:val="nil"/>
              <w:bottom w:val="single" w:sz="4" w:space="0" w:color="auto"/>
              <w:right w:val="single" w:sz="4" w:space="0" w:color="auto"/>
            </w:tcBorders>
            <w:shd w:val="clear" w:color="000000" w:fill="70AD47"/>
            <w:noWrap/>
            <w:vAlign w:val="center"/>
            <w:hideMark/>
          </w:tcPr>
          <w:p w14:paraId="52F344B5" w14:textId="77777777" w:rsidR="005F5AD2" w:rsidRPr="00B56647" w:rsidRDefault="005F5AD2" w:rsidP="005F5AD2">
            <w:pPr>
              <w:spacing w:line="240" w:lineRule="auto"/>
              <w:jc w:val="center"/>
              <w:rPr>
                <w:rFonts w:ascii="Arial" w:eastAsia="Times New Roman" w:hAnsi="Arial" w:cs="Arial"/>
                <w:b/>
                <w:bCs/>
                <w:color w:val="FFFFFF"/>
                <w:sz w:val="18"/>
                <w:szCs w:val="18"/>
                <w:lang w:eastAsia="es-CO"/>
              </w:rPr>
            </w:pPr>
            <w:r w:rsidRPr="00B56647">
              <w:rPr>
                <w:rFonts w:ascii="Arial" w:eastAsia="Times New Roman" w:hAnsi="Arial" w:cs="Arial"/>
                <w:b/>
                <w:bCs/>
                <w:color w:val="FFFFFF"/>
                <w:sz w:val="18"/>
                <w:szCs w:val="18"/>
                <w:lang w:eastAsia="es-CO"/>
              </w:rPr>
              <w:t>Bloqueo</w:t>
            </w:r>
          </w:p>
        </w:tc>
        <w:tc>
          <w:tcPr>
            <w:tcW w:w="789" w:type="pct"/>
            <w:tcBorders>
              <w:top w:val="single" w:sz="4" w:space="0" w:color="auto"/>
              <w:left w:val="nil"/>
              <w:bottom w:val="single" w:sz="4" w:space="0" w:color="auto"/>
              <w:right w:val="single" w:sz="4" w:space="0" w:color="auto"/>
            </w:tcBorders>
            <w:shd w:val="clear" w:color="000000" w:fill="70AD47"/>
            <w:vAlign w:val="center"/>
            <w:hideMark/>
          </w:tcPr>
          <w:p w14:paraId="599FC651" w14:textId="77777777" w:rsidR="005F5AD2" w:rsidRPr="00B56647" w:rsidRDefault="005F5AD2" w:rsidP="005F5AD2">
            <w:pPr>
              <w:spacing w:line="240" w:lineRule="auto"/>
              <w:jc w:val="center"/>
              <w:rPr>
                <w:rFonts w:ascii="Arial" w:eastAsia="Times New Roman" w:hAnsi="Arial" w:cs="Arial"/>
                <w:b/>
                <w:bCs/>
                <w:color w:val="FFFFFF"/>
                <w:sz w:val="18"/>
                <w:szCs w:val="18"/>
                <w:lang w:eastAsia="es-CO"/>
              </w:rPr>
            </w:pPr>
            <w:r w:rsidRPr="00B56647">
              <w:rPr>
                <w:rFonts w:ascii="Arial" w:eastAsia="Times New Roman" w:hAnsi="Arial" w:cs="Arial"/>
                <w:b/>
                <w:bCs/>
                <w:color w:val="FFFFFF"/>
                <w:sz w:val="18"/>
                <w:szCs w:val="18"/>
                <w:lang w:eastAsia="es-CO"/>
              </w:rPr>
              <w:t xml:space="preserve">Apropiación </w:t>
            </w:r>
            <w:r w:rsidRPr="00B56647">
              <w:rPr>
                <w:rFonts w:ascii="Arial" w:eastAsia="Times New Roman" w:hAnsi="Arial" w:cs="Arial"/>
                <w:b/>
                <w:bCs/>
                <w:color w:val="FFFFFF"/>
                <w:sz w:val="18"/>
                <w:szCs w:val="18"/>
                <w:lang w:eastAsia="es-CO"/>
              </w:rPr>
              <w:br/>
              <w:t>vigente</w:t>
            </w:r>
          </w:p>
        </w:tc>
        <w:tc>
          <w:tcPr>
            <w:tcW w:w="778" w:type="pct"/>
            <w:tcBorders>
              <w:top w:val="single" w:sz="4" w:space="0" w:color="auto"/>
              <w:left w:val="nil"/>
              <w:bottom w:val="single" w:sz="4" w:space="0" w:color="auto"/>
              <w:right w:val="single" w:sz="4" w:space="0" w:color="auto"/>
            </w:tcBorders>
            <w:shd w:val="clear" w:color="000000" w:fill="70AD47"/>
            <w:noWrap/>
            <w:vAlign w:val="center"/>
            <w:hideMark/>
          </w:tcPr>
          <w:p w14:paraId="61880736" w14:textId="77777777" w:rsidR="005F5AD2" w:rsidRPr="00B56647" w:rsidRDefault="005F5AD2" w:rsidP="005F5AD2">
            <w:pPr>
              <w:spacing w:line="240" w:lineRule="auto"/>
              <w:jc w:val="center"/>
              <w:rPr>
                <w:rFonts w:ascii="Arial" w:eastAsia="Times New Roman" w:hAnsi="Arial" w:cs="Arial"/>
                <w:b/>
                <w:bCs/>
                <w:color w:val="FFFFFF"/>
                <w:sz w:val="18"/>
                <w:szCs w:val="18"/>
                <w:lang w:eastAsia="es-CO"/>
              </w:rPr>
            </w:pPr>
            <w:r w:rsidRPr="00B56647">
              <w:rPr>
                <w:rFonts w:ascii="Arial" w:eastAsia="Times New Roman" w:hAnsi="Arial" w:cs="Arial"/>
                <w:b/>
                <w:bCs/>
                <w:color w:val="FFFFFF"/>
                <w:sz w:val="18"/>
                <w:szCs w:val="18"/>
                <w:lang w:eastAsia="es-CO"/>
              </w:rPr>
              <w:t>Compromisos</w:t>
            </w:r>
          </w:p>
        </w:tc>
        <w:tc>
          <w:tcPr>
            <w:tcW w:w="710" w:type="pct"/>
            <w:tcBorders>
              <w:top w:val="single" w:sz="4" w:space="0" w:color="auto"/>
              <w:left w:val="nil"/>
              <w:bottom w:val="single" w:sz="4" w:space="0" w:color="auto"/>
              <w:right w:val="single" w:sz="4" w:space="0" w:color="auto"/>
            </w:tcBorders>
            <w:shd w:val="clear" w:color="000000" w:fill="70AD47"/>
            <w:noWrap/>
            <w:vAlign w:val="center"/>
            <w:hideMark/>
          </w:tcPr>
          <w:p w14:paraId="3A899123" w14:textId="77777777" w:rsidR="005F5AD2" w:rsidRPr="00B56647" w:rsidRDefault="005F5AD2" w:rsidP="005F5AD2">
            <w:pPr>
              <w:spacing w:line="240" w:lineRule="auto"/>
              <w:jc w:val="center"/>
              <w:rPr>
                <w:rFonts w:ascii="Arial" w:eastAsia="Times New Roman" w:hAnsi="Arial" w:cs="Arial"/>
                <w:b/>
                <w:bCs/>
                <w:color w:val="FFFFFF"/>
                <w:sz w:val="18"/>
                <w:szCs w:val="18"/>
                <w:lang w:eastAsia="es-CO"/>
              </w:rPr>
            </w:pPr>
            <w:r w:rsidRPr="00B56647">
              <w:rPr>
                <w:rFonts w:ascii="Arial" w:eastAsia="Times New Roman" w:hAnsi="Arial" w:cs="Arial"/>
                <w:b/>
                <w:bCs/>
                <w:color w:val="FFFFFF"/>
                <w:sz w:val="18"/>
                <w:szCs w:val="18"/>
                <w:lang w:eastAsia="es-CO"/>
              </w:rPr>
              <w:t>Obligaciones</w:t>
            </w:r>
          </w:p>
        </w:tc>
        <w:tc>
          <w:tcPr>
            <w:tcW w:w="315" w:type="pct"/>
            <w:tcBorders>
              <w:top w:val="single" w:sz="4" w:space="0" w:color="auto"/>
              <w:left w:val="nil"/>
              <w:bottom w:val="single" w:sz="4" w:space="0" w:color="auto"/>
              <w:right w:val="single" w:sz="4" w:space="0" w:color="auto"/>
            </w:tcBorders>
            <w:shd w:val="clear" w:color="000000" w:fill="70AD47"/>
            <w:vAlign w:val="center"/>
            <w:hideMark/>
          </w:tcPr>
          <w:p w14:paraId="4A91C27B" w14:textId="7F2D5BEB" w:rsidR="005F5AD2" w:rsidRPr="00B56647" w:rsidRDefault="00B56647" w:rsidP="00B56647">
            <w:pPr>
              <w:spacing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 xml:space="preserve">% </w:t>
            </w:r>
            <w:r>
              <w:rPr>
                <w:rFonts w:ascii="Arial" w:eastAsia="Times New Roman" w:hAnsi="Arial" w:cs="Arial"/>
                <w:b/>
                <w:bCs/>
                <w:color w:val="FFFFFF"/>
                <w:sz w:val="18"/>
                <w:szCs w:val="18"/>
                <w:lang w:eastAsia="es-CO"/>
              </w:rPr>
              <w:br/>
            </w:r>
            <w:proofErr w:type="spellStart"/>
            <w:r>
              <w:rPr>
                <w:rFonts w:ascii="Arial" w:eastAsia="Times New Roman" w:hAnsi="Arial" w:cs="Arial"/>
                <w:b/>
                <w:bCs/>
                <w:color w:val="FFFFFF"/>
                <w:sz w:val="18"/>
                <w:szCs w:val="18"/>
                <w:lang w:eastAsia="es-CO"/>
              </w:rPr>
              <w:t>Com</w:t>
            </w:r>
            <w:proofErr w:type="spellEnd"/>
          </w:p>
        </w:tc>
        <w:tc>
          <w:tcPr>
            <w:tcW w:w="350" w:type="pct"/>
            <w:tcBorders>
              <w:top w:val="single" w:sz="4" w:space="0" w:color="auto"/>
              <w:left w:val="nil"/>
              <w:bottom w:val="single" w:sz="4" w:space="0" w:color="auto"/>
              <w:right w:val="single" w:sz="4" w:space="0" w:color="auto"/>
            </w:tcBorders>
            <w:shd w:val="clear" w:color="000000" w:fill="70AD47"/>
            <w:vAlign w:val="center"/>
            <w:hideMark/>
          </w:tcPr>
          <w:p w14:paraId="54DECF8F" w14:textId="0A2C4A40" w:rsidR="005F5AD2" w:rsidRPr="00B56647" w:rsidRDefault="00B56647" w:rsidP="005F5AD2">
            <w:pPr>
              <w:spacing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w:t>
            </w:r>
            <w:r>
              <w:rPr>
                <w:rFonts w:ascii="Arial" w:eastAsia="Times New Roman" w:hAnsi="Arial" w:cs="Arial"/>
                <w:b/>
                <w:bCs/>
                <w:color w:val="FFFFFF"/>
                <w:sz w:val="18"/>
                <w:szCs w:val="18"/>
                <w:lang w:eastAsia="es-CO"/>
              </w:rPr>
              <w:br/>
            </w:r>
            <w:proofErr w:type="spellStart"/>
            <w:r>
              <w:rPr>
                <w:rFonts w:ascii="Arial" w:eastAsia="Times New Roman" w:hAnsi="Arial" w:cs="Arial"/>
                <w:b/>
                <w:bCs/>
                <w:color w:val="FFFFFF"/>
                <w:sz w:val="18"/>
                <w:szCs w:val="18"/>
                <w:lang w:eastAsia="es-CO"/>
              </w:rPr>
              <w:t>Obli</w:t>
            </w:r>
            <w:proofErr w:type="spellEnd"/>
          </w:p>
        </w:tc>
      </w:tr>
      <w:tr w:rsidR="00B56647" w:rsidRPr="005F5AD2" w14:paraId="2D97D4B1" w14:textId="77777777" w:rsidTr="00A6539D">
        <w:trPr>
          <w:trHeight w:val="30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222E2F10" w14:textId="77777777" w:rsidR="005F5AD2" w:rsidRPr="005F5AD2" w:rsidRDefault="005F5AD2" w:rsidP="005F5AD2">
            <w:pPr>
              <w:spacing w:line="240" w:lineRule="auto"/>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Funcionamiento</w:t>
            </w:r>
          </w:p>
        </w:tc>
        <w:tc>
          <w:tcPr>
            <w:tcW w:w="701" w:type="pct"/>
            <w:tcBorders>
              <w:top w:val="nil"/>
              <w:left w:val="nil"/>
              <w:bottom w:val="single" w:sz="4" w:space="0" w:color="auto"/>
              <w:right w:val="single" w:sz="4" w:space="0" w:color="auto"/>
            </w:tcBorders>
            <w:shd w:val="clear" w:color="auto" w:fill="auto"/>
            <w:noWrap/>
            <w:vAlign w:val="center"/>
            <w:hideMark/>
          </w:tcPr>
          <w:p w14:paraId="60D03B80"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35.936</w:t>
            </w:r>
          </w:p>
        </w:tc>
        <w:tc>
          <w:tcPr>
            <w:tcW w:w="484" w:type="pct"/>
            <w:tcBorders>
              <w:top w:val="nil"/>
              <w:left w:val="nil"/>
              <w:bottom w:val="single" w:sz="4" w:space="0" w:color="auto"/>
              <w:right w:val="single" w:sz="4" w:space="0" w:color="auto"/>
            </w:tcBorders>
            <w:shd w:val="clear" w:color="auto" w:fill="auto"/>
            <w:noWrap/>
            <w:vAlign w:val="center"/>
            <w:hideMark/>
          </w:tcPr>
          <w:p w14:paraId="2F87814E"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14.778</w:t>
            </w:r>
          </w:p>
        </w:tc>
        <w:tc>
          <w:tcPr>
            <w:tcW w:w="789" w:type="pct"/>
            <w:tcBorders>
              <w:top w:val="nil"/>
              <w:left w:val="nil"/>
              <w:bottom w:val="single" w:sz="4" w:space="0" w:color="auto"/>
              <w:right w:val="single" w:sz="4" w:space="0" w:color="auto"/>
            </w:tcBorders>
            <w:shd w:val="clear" w:color="auto" w:fill="auto"/>
            <w:noWrap/>
            <w:vAlign w:val="center"/>
            <w:hideMark/>
          </w:tcPr>
          <w:p w14:paraId="7C786513"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21.158</w:t>
            </w:r>
          </w:p>
        </w:tc>
        <w:tc>
          <w:tcPr>
            <w:tcW w:w="778" w:type="pct"/>
            <w:tcBorders>
              <w:top w:val="nil"/>
              <w:left w:val="nil"/>
              <w:bottom w:val="single" w:sz="4" w:space="0" w:color="auto"/>
              <w:right w:val="single" w:sz="4" w:space="0" w:color="auto"/>
            </w:tcBorders>
            <w:shd w:val="clear" w:color="auto" w:fill="auto"/>
            <w:noWrap/>
            <w:vAlign w:val="center"/>
            <w:hideMark/>
          </w:tcPr>
          <w:p w14:paraId="31CA7EA4"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6.256</w:t>
            </w:r>
          </w:p>
        </w:tc>
        <w:tc>
          <w:tcPr>
            <w:tcW w:w="710" w:type="pct"/>
            <w:tcBorders>
              <w:top w:val="nil"/>
              <w:left w:val="nil"/>
              <w:bottom w:val="single" w:sz="4" w:space="0" w:color="auto"/>
              <w:right w:val="single" w:sz="4" w:space="0" w:color="auto"/>
            </w:tcBorders>
            <w:shd w:val="clear" w:color="auto" w:fill="auto"/>
            <w:noWrap/>
            <w:vAlign w:val="bottom"/>
            <w:hideMark/>
          </w:tcPr>
          <w:p w14:paraId="4069336B"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3.867</w:t>
            </w:r>
          </w:p>
        </w:tc>
        <w:tc>
          <w:tcPr>
            <w:tcW w:w="315" w:type="pct"/>
            <w:tcBorders>
              <w:top w:val="nil"/>
              <w:left w:val="nil"/>
              <w:bottom w:val="single" w:sz="4" w:space="0" w:color="auto"/>
              <w:right w:val="single" w:sz="4" w:space="0" w:color="auto"/>
            </w:tcBorders>
            <w:shd w:val="clear" w:color="auto" w:fill="auto"/>
            <w:vAlign w:val="center"/>
            <w:hideMark/>
          </w:tcPr>
          <w:p w14:paraId="1EE6618C" w14:textId="77777777" w:rsidR="005F5AD2" w:rsidRPr="005F5AD2" w:rsidRDefault="005F5AD2" w:rsidP="005F5AD2">
            <w:pPr>
              <w:spacing w:line="240" w:lineRule="auto"/>
              <w:jc w:val="center"/>
              <w:rPr>
                <w:rFonts w:ascii="Arial" w:eastAsia="Times New Roman" w:hAnsi="Arial" w:cs="Arial"/>
                <w:b/>
                <w:bCs/>
                <w:color w:val="000000"/>
                <w:sz w:val="20"/>
                <w:szCs w:val="20"/>
                <w:lang w:eastAsia="es-CO"/>
              </w:rPr>
            </w:pPr>
            <w:r w:rsidRPr="005F5AD2">
              <w:rPr>
                <w:rFonts w:ascii="Arial" w:eastAsia="Times New Roman" w:hAnsi="Arial" w:cs="Arial"/>
                <w:b/>
                <w:bCs/>
                <w:color w:val="000000"/>
                <w:sz w:val="20"/>
                <w:szCs w:val="20"/>
                <w:lang w:val="es-ES" w:eastAsia="es-CO"/>
              </w:rPr>
              <w:t>30%</w:t>
            </w:r>
          </w:p>
        </w:tc>
        <w:tc>
          <w:tcPr>
            <w:tcW w:w="350" w:type="pct"/>
            <w:tcBorders>
              <w:top w:val="nil"/>
              <w:left w:val="nil"/>
              <w:bottom w:val="single" w:sz="4" w:space="0" w:color="auto"/>
              <w:right w:val="single" w:sz="4" w:space="0" w:color="auto"/>
            </w:tcBorders>
            <w:shd w:val="clear" w:color="auto" w:fill="auto"/>
            <w:noWrap/>
            <w:vAlign w:val="bottom"/>
            <w:hideMark/>
          </w:tcPr>
          <w:p w14:paraId="0738EAE4"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18%</w:t>
            </w:r>
          </w:p>
        </w:tc>
      </w:tr>
      <w:tr w:rsidR="00B56647" w:rsidRPr="005F5AD2" w14:paraId="2786AD47" w14:textId="77777777" w:rsidTr="00A6539D">
        <w:trPr>
          <w:trHeight w:val="300"/>
        </w:trPr>
        <w:tc>
          <w:tcPr>
            <w:tcW w:w="873" w:type="pct"/>
            <w:tcBorders>
              <w:top w:val="nil"/>
              <w:left w:val="single" w:sz="4" w:space="0" w:color="auto"/>
              <w:bottom w:val="single" w:sz="4" w:space="0" w:color="auto"/>
              <w:right w:val="single" w:sz="4" w:space="0" w:color="auto"/>
            </w:tcBorders>
            <w:shd w:val="clear" w:color="auto" w:fill="auto"/>
            <w:noWrap/>
            <w:vAlign w:val="bottom"/>
            <w:hideMark/>
          </w:tcPr>
          <w:p w14:paraId="34C7560E" w14:textId="77777777" w:rsidR="005F5AD2" w:rsidRPr="005F5AD2" w:rsidRDefault="005F5AD2" w:rsidP="005F5AD2">
            <w:pPr>
              <w:spacing w:line="240" w:lineRule="auto"/>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Inversión</w:t>
            </w:r>
          </w:p>
        </w:tc>
        <w:tc>
          <w:tcPr>
            <w:tcW w:w="701" w:type="pct"/>
            <w:tcBorders>
              <w:top w:val="nil"/>
              <w:left w:val="nil"/>
              <w:bottom w:val="single" w:sz="4" w:space="0" w:color="auto"/>
              <w:right w:val="single" w:sz="4" w:space="0" w:color="auto"/>
            </w:tcBorders>
            <w:shd w:val="clear" w:color="auto" w:fill="auto"/>
            <w:noWrap/>
            <w:vAlign w:val="center"/>
            <w:hideMark/>
          </w:tcPr>
          <w:p w14:paraId="5E3D2310"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194.900</w:t>
            </w:r>
          </w:p>
        </w:tc>
        <w:tc>
          <w:tcPr>
            <w:tcW w:w="484" w:type="pct"/>
            <w:tcBorders>
              <w:top w:val="nil"/>
              <w:left w:val="nil"/>
              <w:bottom w:val="single" w:sz="4" w:space="0" w:color="auto"/>
              <w:right w:val="single" w:sz="4" w:space="0" w:color="auto"/>
            </w:tcBorders>
            <w:shd w:val="clear" w:color="auto" w:fill="auto"/>
            <w:noWrap/>
            <w:vAlign w:val="center"/>
            <w:hideMark/>
          </w:tcPr>
          <w:p w14:paraId="6A76FDB1"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96.650</w:t>
            </w:r>
          </w:p>
        </w:tc>
        <w:tc>
          <w:tcPr>
            <w:tcW w:w="789" w:type="pct"/>
            <w:tcBorders>
              <w:top w:val="nil"/>
              <w:left w:val="nil"/>
              <w:bottom w:val="single" w:sz="4" w:space="0" w:color="auto"/>
              <w:right w:val="single" w:sz="4" w:space="0" w:color="auto"/>
            </w:tcBorders>
            <w:shd w:val="clear" w:color="auto" w:fill="auto"/>
            <w:noWrap/>
            <w:vAlign w:val="center"/>
            <w:hideMark/>
          </w:tcPr>
          <w:p w14:paraId="71EF6A2E"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98.251</w:t>
            </w:r>
          </w:p>
        </w:tc>
        <w:tc>
          <w:tcPr>
            <w:tcW w:w="778" w:type="pct"/>
            <w:tcBorders>
              <w:top w:val="nil"/>
              <w:left w:val="nil"/>
              <w:bottom w:val="single" w:sz="4" w:space="0" w:color="auto"/>
              <w:right w:val="single" w:sz="4" w:space="0" w:color="auto"/>
            </w:tcBorders>
            <w:shd w:val="clear" w:color="auto" w:fill="auto"/>
            <w:noWrap/>
            <w:vAlign w:val="center"/>
            <w:hideMark/>
          </w:tcPr>
          <w:p w14:paraId="08C962B9"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36.887</w:t>
            </w:r>
          </w:p>
        </w:tc>
        <w:tc>
          <w:tcPr>
            <w:tcW w:w="710" w:type="pct"/>
            <w:tcBorders>
              <w:top w:val="nil"/>
              <w:left w:val="nil"/>
              <w:bottom w:val="single" w:sz="4" w:space="0" w:color="auto"/>
              <w:right w:val="single" w:sz="4" w:space="0" w:color="auto"/>
            </w:tcBorders>
            <w:shd w:val="clear" w:color="auto" w:fill="auto"/>
            <w:noWrap/>
            <w:vAlign w:val="bottom"/>
            <w:hideMark/>
          </w:tcPr>
          <w:p w14:paraId="30DCF800"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3.276</w:t>
            </w:r>
          </w:p>
        </w:tc>
        <w:tc>
          <w:tcPr>
            <w:tcW w:w="315" w:type="pct"/>
            <w:tcBorders>
              <w:top w:val="nil"/>
              <w:left w:val="nil"/>
              <w:bottom w:val="single" w:sz="4" w:space="0" w:color="auto"/>
              <w:right w:val="single" w:sz="4" w:space="0" w:color="auto"/>
            </w:tcBorders>
            <w:shd w:val="clear" w:color="auto" w:fill="auto"/>
            <w:noWrap/>
            <w:vAlign w:val="center"/>
            <w:hideMark/>
          </w:tcPr>
          <w:p w14:paraId="2822D299" w14:textId="77777777" w:rsidR="005F5AD2" w:rsidRPr="005F5AD2" w:rsidRDefault="005F5AD2" w:rsidP="005F5AD2">
            <w:pPr>
              <w:spacing w:line="240" w:lineRule="auto"/>
              <w:jc w:val="center"/>
              <w:rPr>
                <w:rFonts w:ascii="Arial" w:eastAsia="Times New Roman" w:hAnsi="Arial" w:cs="Arial"/>
                <w:b/>
                <w:bCs/>
                <w:color w:val="000000"/>
                <w:sz w:val="20"/>
                <w:szCs w:val="20"/>
                <w:lang w:eastAsia="es-CO"/>
              </w:rPr>
            </w:pPr>
            <w:r w:rsidRPr="005F5AD2">
              <w:rPr>
                <w:rFonts w:ascii="Arial" w:eastAsia="Times New Roman" w:hAnsi="Arial" w:cs="Arial"/>
                <w:b/>
                <w:bCs/>
                <w:color w:val="000000"/>
                <w:sz w:val="20"/>
                <w:szCs w:val="20"/>
                <w:lang w:eastAsia="es-CO"/>
              </w:rPr>
              <w:t>38%</w:t>
            </w:r>
          </w:p>
        </w:tc>
        <w:tc>
          <w:tcPr>
            <w:tcW w:w="350" w:type="pct"/>
            <w:tcBorders>
              <w:top w:val="nil"/>
              <w:left w:val="nil"/>
              <w:bottom w:val="single" w:sz="4" w:space="0" w:color="auto"/>
              <w:right w:val="single" w:sz="4" w:space="0" w:color="auto"/>
            </w:tcBorders>
            <w:shd w:val="clear" w:color="auto" w:fill="auto"/>
            <w:noWrap/>
            <w:vAlign w:val="bottom"/>
            <w:hideMark/>
          </w:tcPr>
          <w:p w14:paraId="5AF5ECB4" w14:textId="77777777" w:rsidR="005F5AD2" w:rsidRPr="005F5AD2" w:rsidRDefault="005F5AD2" w:rsidP="005F5AD2">
            <w:pPr>
              <w:spacing w:line="240" w:lineRule="auto"/>
              <w:jc w:val="center"/>
              <w:rPr>
                <w:rFonts w:ascii="Arial" w:eastAsia="Times New Roman" w:hAnsi="Arial" w:cs="Arial"/>
                <w:color w:val="000000"/>
                <w:sz w:val="20"/>
                <w:szCs w:val="20"/>
                <w:lang w:eastAsia="es-CO"/>
              </w:rPr>
            </w:pPr>
            <w:r w:rsidRPr="005F5AD2">
              <w:rPr>
                <w:rFonts w:ascii="Arial" w:eastAsia="Times New Roman" w:hAnsi="Arial" w:cs="Arial"/>
                <w:color w:val="000000"/>
                <w:sz w:val="20"/>
                <w:szCs w:val="20"/>
                <w:lang w:eastAsia="es-CO"/>
              </w:rPr>
              <w:t>3%</w:t>
            </w:r>
          </w:p>
        </w:tc>
      </w:tr>
      <w:tr w:rsidR="00B56647" w:rsidRPr="005F5AD2" w14:paraId="0719FAC0" w14:textId="77777777" w:rsidTr="00A6539D">
        <w:trPr>
          <w:trHeight w:val="300"/>
        </w:trPr>
        <w:tc>
          <w:tcPr>
            <w:tcW w:w="873" w:type="pct"/>
            <w:tcBorders>
              <w:top w:val="nil"/>
              <w:left w:val="single" w:sz="4" w:space="0" w:color="auto"/>
              <w:bottom w:val="single" w:sz="4" w:space="0" w:color="auto"/>
              <w:right w:val="single" w:sz="4" w:space="0" w:color="auto"/>
            </w:tcBorders>
            <w:shd w:val="clear" w:color="000000" w:fill="70AD47"/>
            <w:noWrap/>
            <w:vAlign w:val="bottom"/>
            <w:hideMark/>
          </w:tcPr>
          <w:p w14:paraId="74B2483E" w14:textId="77777777" w:rsidR="005F5AD2" w:rsidRPr="005F5AD2" w:rsidRDefault="005F5AD2" w:rsidP="005F5AD2">
            <w:pPr>
              <w:spacing w:line="240" w:lineRule="auto"/>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Total</w:t>
            </w:r>
          </w:p>
        </w:tc>
        <w:tc>
          <w:tcPr>
            <w:tcW w:w="701" w:type="pct"/>
            <w:tcBorders>
              <w:top w:val="nil"/>
              <w:left w:val="nil"/>
              <w:bottom w:val="single" w:sz="4" w:space="0" w:color="auto"/>
              <w:right w:val="single" w:sz="4" w:space="0" w:color="auto"/>
            </w:tcBorders>
            <w:shd w:val="clear" w:color="000000" w:fill="70AD47"/>
            <w:noWrap/>
            <w:vAlign w:val="bottom"/>
            <w:hideMark/>
          </w:tcPr>
          <w:p w14:paraId="768A6F5A"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230.836</w:t>
            </w:r>
          </w:p>
        </w:tc>
        <w:tc>
          <w:tcPr>
            <w:tcW w:w="484" w:type="pct"/>
            <w:tcBorders>
              <w:top w:val="nil"/>
              <w:left w:val="nil"/>
              <w:bottom w:val="single" w:sz="4" w:space="0" w:color="auto"/>
              <w:right w:val="single" w:sz="4" w:space="0" w:color="auto"/>
            </w:tcBorders>
            <w:shd w:val="clear" w:color="000000" w:fill="70AD47"/>
            <w:noWrap/>
            <w:vAlign w:val="bottom"/>
            <w:hideMark/>
          </w:tcPr>
          <w:p w14:paraId="37DEC136"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111.428</w:t>
            </w:r>
          </w:p>
        </w:tc>
        <w:tc>
          <w:tcPr>
            <w:tcW w:w="789" w:type="pct"/>
            <w:tcBorders>
              <w:top w:val="nil"/>
              <w:left w:val="nil"/>
              <w:bottom w:val="single" w:sz="4" w:space="0" w:color="auto"/>
              <w:right w:val="single" w:sz="4" w:space="0" w:color="auto"/>
            </w:tcBorders>
            <w:shd w:val="clear" w:color="000000" w:fill="70AD47"/>
            <w:noWrap/>
            <w:vAlign w:val="bottom"/>
            <w:hideMark/>
          </w:tcPr>
          <w:p w14:paraId="77A715A5"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119.409</w:t>
            </w:r>
          </w:p>
        </w:tc>
        <w:tc>
          <w:tcPr>
            <w:tcW w:w="778" w:type="pct"/>
            <w:tcBorders>
              <w:top w:val="nil"/>
              <w:left w:val="nil"/>
              <w:bottom w:val="single" w:sz="4" w:space="0" w:color="auto"/>
              <w:right w:val="single" w:sz="4" w:space="0" w:color="auto"/>
            </w:tcBorders>
            <w:shd w:val="clear" w:color="000000" w:fill="70AD47"/>
            <w:noWrap/>
            <w:vAlign w:val="bottom"/>
            <w:hideMark/>
          </w:tcPr>
          <w:p w14:paraId="5FF663C2"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43.143</w:t>
            </w:r>
          </w:p>
        </w:tc>
        <w:tc>
          <w:tcPr>
            <w:tcW w:w="710" w:type="pct"/>
            <w:tcBorders>
              <w:top w:val="nil"/>
              <w:left w:val="nil"/>
              <w:bottom w:val="single" w:sz="4" w:space="0" w:color="auto"/>
              <w:right w:val="single" w:sz="4" w:space="0" w:color="auto"/>
            </w:tcBorders>
            <w:shd w:val="clear" w:color="000000" w:fill="70AD47"/>
            <w:noWrap/>
            <w:vAlign w:val="bottom"/>
            <w:hideMark/>
          </w:tcPr>
          <w:p w14:paraId="0A5DFD65"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7.143</w:t>
            </w:r>
          </w:p>
        </w:tc>
        <w:tc>
          <w:tcPr>
            <w:tcW w:w="315" w:type="pct"/>
            <w:tcBorders>
              <w:top w:val="nil"/>
              <w:left w:val="nil"/>
              <w:bottom w:val="single" w:sz="4" w:space="0" w:color="auto"/>
              <w:right w:val="single" w:sz="4" w:space="0" w:color="auto"/>
            </w:tcBorders>
            <w:shd w:val="clear" w:color="000000" w:fill="70AD47"/>
            <w:vAlign w:val="center"/>
            <w:hideMark/>
          </w:tcPr>
          <w:p w14:paraId="52CEBF17"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36%</w:t>
            </w:r>
          </w:p>
        </w:tc>
        <w:tc>
          <w:tcPr>
            <w:tcW w:w="350" w:type="pct"/>
            <w:tcBorders>
              <w:top w:val="nil"/>
              <w:left w:val="nil"/>
              <w:bottom w:val="single" w:sz="4" w:space="0" w:color="auto"/>
              <w:right w:val="single" w:sz="4" w:space="0" w:color="auto"/>
            </w:tcBorders>
            <w:shd w:val="clear" w:color="000000" w:fill="70AD47"/>
            <w:noWrap/>
            <w:vAlign w:val="bottom"/>
            <w:hideMark/>
          </w:tcPr>
          <w:p w14:paraId="6085C66C" w14:textId="77777777" w:rsidR="005F5AD2" w:rsidRPr="005F5AD2" w:rsidRDefault="005F5AD2" w:rsidP="005F5AD2">
            <w:pPr>
              <w:spacing w:line="240" w:lineRule="auto"/>
              <w:jc w:val="center"/>
              <w:rPr>
                <w:rFonts w:ascii="Arial" w:eastAsia="Times New Roman" w:hAnsi="Arial" w:cs="Arial"/>
                <w:b/>
                <w:bCs/>
                <w:color w:val="FFFFFF"/>
                <w:sz w:val="20"/>
                <w:szCs w:val="20"/>
                <w:lang w:eastAsia="es-CO"/>
              </w:rPr>
            </w:pPr>
            <w:r w:rsidRPr="005F5AD2">
              <w:rPr>
                <w:rFonts w:ascii="Arial" w:eastAsia="Times New Roman" w:hAnsi="Arial" w:cs="Arial"/>
                <w:b/>
                <w:bCs/>
                <w:color w:val="FFFFFF"/>
                <w:sz w:val="20"/>
                <w:szCs w:val="20"/>
                <w:lang w:eastAsia="es-CO"/>
              </w:rPr>
              <w:t>6%</w:t>
            </w:r>
          </w:p>
        </w:tc>
      </w:tr>
    </w:tbl>
    <w:p w14:paraId="415B4418" w14:textId="711109FA" w:rsidR="005F5AD2" w:rsidRPr="00A6539D" w:rsidRDefault="00A6539D" w:rsidP="00A6539D">
      <w:pPr>
        <w:autoSpaceDE w:val="0"/>
        <w:autoSpaceDN w:val="0"/>
        <w:adjustRightInd w:val="0"/>
        <w:spacing w:line="240" w:lineRule="auto"/>
        <w:rPr>
          <w:rFonts w:ascii="Arial" w:hAnsi="Arial" w:cs="Arial"/>
          <w:color w:val="000000"/>
          <w:sz w:val="16"/>
          <w:szCs w:val="16"/>
        </w:rPr>
      </w:pPr>
      <w:r w:rsidRPr="00A6539D">
        <w:rPr>
          <w:rFonts w:ascii="Arial" w:hAnsi="Arial" w:cs="Arial"/>
          <w:color w:val="000000"/>
          <w:sz w:val="16"/>
          <w:szCs w:val="16"/>
        </w:rPr>
        <w:t>Fuente: Sistema Integrado de Información Financiera SIIF - Nación</w:t>
      </w:r>
    </w:p>
    <w:p w14:paraId="3D86D769"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8FE91B0" w14:textId="20004ECE" w:rsidR="00D222D1" w:rsidRPr="007F46C8" w:rsidRDefault="007F46C8" w:rsidP="007F46C8">
      <w:pPr>
        <w:autoSpaceDE w:val="0"/>
        <w:autoSpaceDN w:val="0"/>
        <w:adjustRightInd w:val="0"/>
        <w:spacing w:line="240" w:lineRule="auto"/>
        <w:jc w:val="both"/>
        <w:rPr>
          <w:rFonts w:ascii="Arial" w:hAnsi="Arial" w:cs="Arial"/>
          <w:color w:val="000000"/>
          <w:sz w:val="24"/>
          <w:szCs w:val="24"/>
        </w:rPr>
      </w:pPr>
      <w:r>
        <w:rPr>
          <w:rFonts w:ascii="Arial" w:hAnsi="Arial" w:cs="Arial"/>
          <w:sz w:val="24"/>
          <w:szCs w:val="24"/>
        </w:rPr>
        <w:t xml:space="preserve">Como se observa en la Tabla </w:t>
      </w:r>
      <w:r w:rsidRPr="007F46C8">
        <w:rPr>
          <w:rFonts w:ascii="Arial" w:hAnsi="Arial" w:cs="Arial"/>
          <w:sz w:val="24"/>
          <w:szCs w:val="24"/>
        </w:rPr>
        <w:t>2,</w:t>
      </w:r>
      <w:r>
        <w:rPr>
          <w:rFonts w:ascii="Arial" w:hAnsi="Arial" w:cs="Arial"/>
          <w:sz w:val="24"/>
          <w:szCs w:val="24"/>
        </w:rPr>
        <w:t xml:space="preserve"> se firmaron compromisos por $43.143</w:t>
      </w:r>
      <w:r w:rsidRPr="007F46C8">
        <w:rPr>
          <w:rFonts w:ascii="Arial" w:hAnsi="Arial" w:cs="Arial"/>
          <w:sz w:val="24"/>
          <w:szCs w:val="24"/>
        </w:rPr>
        <w:t xml:space="preserve"> millones, </w:t>
      </w:r>
      <w:r>
        <w:rPr>
          <w:rFonts w:ascii="Arial" w:hAnsi="Arial" w:cs="Arial"/>
          <w:sz w:val="24"/>
          <w:szCs w:val="24"/>
        </w:rPr>
        <w:t>equivalentes al 36</w:t>
      </w:r>
      <w:r w:rsidRPr="007F46C8">
        <w:rPr>
          <w:rFonts w:ascii="Arial" w:hAnsi="Arial" w:cs="Arial"/>
          <w:sz w:val="24"/>
          <w:szCs w:val="24"/>
        </w:rPr>
        <w:t>% del presupuesto apropiado y se es</w:t>
      </w:r>
      <w:r>
        <w:rPr>
          <w:rFonts w:ascii="Arial" w:hAnsi="Arial" w:cs="Arial"/>
          <w:sz w:val="24"/>
          <w:szCs w:val="24"/>
        </w:rPr>
        <w:t xml:space="preserve">tablecieron obligaciones por $7.143 millones. </w:t>
      </w:r>
      <w:r w:rsidRPr="007F46C8">
        <w:rPr>
          <w:rFonts w:ascii="Arial" w:hAnsi="Arial" w:cs="Arial"/>
          <w:sz w:val="24"/>
          <w:szCs w:val="24"/>
        </w:rPr>
        <w:t>Con cargo a estos recursos, se han venido desarrollando las acciones establecidas en la Plan de Acción de la Agencia de Desarrollo Rural, respecto de las cuales se presentara el detalle de los avances por línea estratégica a continuación.</w:t>
      </w:r>
    </w:p>
    <w:p w14:paraId="5928044C"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6F39BF15"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156482EA"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4BFF0F44"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12F98FC1"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B0C8FBF"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BF34170"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3E226896"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491328EB"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F15A4D2"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C610A3D"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31D2D367"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004D909"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5506CDBD"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10FB098"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51F66BE4"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595FE44"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16486659"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28B30AE"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7945887B" w14:textId="77777777" w:rsidR="00D222D1" w:rsidRDefault="00D222D1" w:rsidP="00DF05D3">
      <w:pPr>
        <w:autoSpaceDE w:val="0"/>
        <w:autoSpaceDN w:val="0"/>
        <w:adjustRightInd w:val="0"/>
        <w:spacing w:line="240" w:lineRule="auto"/>
        <w:jc w:val="center"/>
        <w:rPr>
          <w:rFonts w:ascii="Arial" w:hAnsi="Arial" w:cs="Arial"/>
          <w:color w:val="000000"/>
          <w:sz w:val="24"/>
          <w:szCs w:val="24"/>
        </w:rPr>
      </w:pPr>
    </w:p>
    <w:p w14:paraId="085A03EF" w14:textId="77777777" w:rsidR="00DE3DBF" w:rsidRDefault="00DE3DBF" w:rsidP="00DF05D3">
      <w:pPr>
        <w:autoSpaceDE w:val="0"/>
        <w:autoSpaceDN w:val="0"/>
        <w:adjustRightInd w:val="0"/>
        <w:spacing w:line="240" w:lineRule="auto"/>
        <w:jc w:val="center"/>
        <w:rPr>
          <w:rFonts w:ascii="Arial" w:hAnsi="Arial" w:cs="Arial"/>
          <w:color w:val="000000"/>
          <w:sz w:val="24"/>
          <w:szCs w:val="24"/>
        </w:rPr>
      </w:pPr>
    </w:p>
    <w:p w14:paraId="23D3E0E3" w14:textId="5691E613" w:rsidR="00D222D1" w:rsidRDefault="00D222D1" w:rsidP="00D222D1">
      <w:pPr>
        <w:autoSpaceDE w:val="0"/>
        <w:autoSpaceDN w:val="0"/>
        <w:adjustRightInd w:val="0"/>
        <w:spacing w:line="240" w:lineRule="auto"/>
        <w:rPr>
          <w:rFonts w:ascii="Arial" w:hAnsi="Arial" w:cs="Arial"/>
          <w:b/>
          <w:bCs/>
          <w:color w:val="538135" w:themeColor="accent6" w:themeShade="BF"/>
          <w:sz w:val="24"/>
          <w:szCs w:val="24"/>
        </w:rPr>
      </w:pPr>
      <w:r>
        <w:rPr>
          <w:rFonts w:ascii="Arial" w:hAnsi="Arial" w:cs="Arial"/>
          <w:b/>
          <w:bCs/>
          <w:color w:val="538135" w:themeColor="accent6" w:themeShade="BF"/>
          <w:sz w:val="24"/>
          <w:szCs w:val="24"/>
        </w:rPr>
        <w:t xml:space="preserve">DETALLE DE AVANCES POR LÍNEA ESTRATÉGICA </w:t>
      </w:r>
    </w:p>
    <w:p w14:paraId="363455A6" w14:textId="77777777" w:rsidR="00D222D1" w:rsidRDefault="00D222D1" w:rsidP="00D222D1">
      <w:pPr>
        <w:autoSpaceDE w:val="0"/>
        <w:autoSpaceDN w:val="0"/>
        <w:adjustRightInd w:val="0"/>
        <w:spacing w:line="240" w:lineRule="auto"/>
        <w:rPr>
          <w:rFonts w:ascii="Arial" w:hAnsi="Arial" w:cs="Arial"/>
          <w:b/>
          <w:bCs/>
          <w:color w:val="538135" w:themeColor="accent6" w:themeShade="BF"/>
          <w:sz w:val="24"/>
          <w:szCs w:val="24"/>
        </w:rPr>
      </w:pPr>
    </w:p>
    <w:p w14:paraId="10C6869E" w14:textId="47754027" w:rsidR="00D222D1" w:rsidRDefault="00997961" w:rsidP="00D222D1">
      <w:pPr>
        <w:autoSpaceDE w:val="0"/>
        <w:autoSpaceDN w:val="0"/>
        <w:adjustRightInd w:val="0"/>
        <w:spacing w:line="240" w:lineRule="auto"/>
        <w:rPr>
          <w:rFonts w:ascii="Arial" w:hAnsi="Arial" w:cs="Arial"/>
          <w:color w:val="70AD47" w:themeColor="accent6"/>
          <w:sz w:val="24"/>
          <w:szCs w:val="24"/>
        </w:rPr>
      </w:pPr>
      <w:r w:rsidRPr="00997961">
        <w:rPr>
          <w:rFonts w:ascii="Arial" w:hAnsi="Arial" w:cs="Arial"/>
          <w:color w:val="70AD47" w:themeColor="accent6"/>
          <w:sz w:val="24"/>
          <w:szCs w:val="24"/>
        </w:rPr>
        <w:t>Línea estratégica 1: Dinamización de la competitividad rural</w:t>
      </w:r>
    </w:p>
    <w:p w14:paraId="4FF17EF0" w14:textId="77777777" w:rsidR="00997961" w:rsidRDefault="00997961" w:rsidP="00D222D1">
      <w:pPr>
        <w:autoSpaceDE w:val="0"/>
        <w:autoSpaceDN w:val="0"/>
        <w:adjustRightInd w:val="0"/>
        <w:spacing w:line="240" w:lineRule="auto"/>
        <w:rPr>
          <w:rFonts w:ascii="Arial" w:hAnsi="Arial" w:cs="Arial"/>
          <w:color w:val="70AD47" w:themeColor="accent6"/>
          <w:sz w:val="24"/>
          <w:szCs w:val="24"/>
        </w:rPr>
      </w:pPr>
    </w:p>
    <w:p w14:paraId="7E9FA4BC" w14:textId="243B6692" w:rsidR="00997961" w:rsidRPr="00997961" w:rsidRDefault="00997961" w:rsidP="00997961">
      <w:pPr>
        <w:autoSpaceDE w:val="0"/>
        <w:autoSpaceDN w:val="0"/>
        <w:adjustRightInd w:val="0"/>
        <w:spacing w:line="240" w:lineRule="auto"/>
        <w:jc w:val="both"/>
        <w:rPr>
          <w:rFonts w:ascii="Arial" w:hAnsi="Arial" w:cs="Arial"/>
          <w:b/>
          <w:bCs/>
          <w:color w:val="70AD47" w:themeColor="accent6"/>
          <w:sz w:val="24"/>
          <w:szCs w:val="24"/>
        </w:rPr>
      </w:pPr>
      <w:r w:rsidRPr="00997961">
        <w:rPr>
          <w:rFonts w:ascii="Arial" w:hAnsi="Arial" w:cs="Arial"/>
          <w:sz w:val="24"/>
          <w:szCs w:val="24"/>
        </w:rPr>
        <w:t xml:space="preserve">El avance por Línea Estratégica está directamente relacionado con los Objetivos Estratégicos que la conforman, por lo que en el caso particular de la Línea Estratégica 1, se consideran los </w:t>
      </w:r>
      <w:r w:rsidRPr="00997961">
        <w:rPr>
          <w:rFonts w:ascii="Arial" w:hAnsi="Arial" w:cs="Arial"/>
          <w:bCs/>
          <w:sz w:val="24"/>
          <w:szCs w:val="24"/>
        </w:rPr>
        <w:t xml:space="preserve">35 </w:t>
      </w:r>
      <w:r w:rsidRPr="00997961">
        <w:rPr>
          <w:rFonts w:ascii="Arial" w:hAnsi="Arial" w:cs="Arial"/>
          <w:sz w:val="24"/>
          <w:szCs w:val="24"/>
        </w:rPr>
        <w:t>indicadores de los objetivos denominados “Promover el desarrollo de capacidades para la generación sostenible de ingresos en la comunidad rural, a partir de la realización de intervenciones efectivas y acordes con la vocación agropecuaria de los territorios.”, y “Fortalecer la productividad y competitividad de las cadenas de valor y sistemas productivos del sector agropecuario a través del acompañamiento técnico, la coordinación interinstitucional y la implementación del Subsistema Nacional de Extensión Agropecuaria.”, cuyos avances cuantitativos y cualitativos se detallan a continuación:</w:t>
      </w:r>
    </w:p>
    <w:p w14:paraId="7B91CF8A" w14:textId="77777777" w:rsidR="00D222D1" w:rsidRDefault="00D222D1" w:rsidP="00D222D1">
      <w:pPr>
        <w:autoSpaceDE w:val="0"/>
        <w:autoSpaceDN w:val="0"/>
        <w:adjustRightInd w:val="0"/>
        <w:spacing w:line="240" w:lineRule="auto"/>
        <w:jc w:val="both"/>
        <w:rPr>
          <w:rFonts w:ascii="Arial" w:hAnsi="Arial" w:cs="Arial"/>
          <w:color w:val="000000"/>
          <w:sz w:val="24"/>
          <w:szCs w:val="24"/>
        </w:rPr>
      </w:pPr>
    </w:p>
    <w:p w14:paraId="07E23324" w14:textId="7705E9A9" w:rsidR="0023455E" w:rsidRDefault="00517787" w:rsidP="00517787">
      <w:pPr>
        <w:jc w:val="center"/>
        <w:rPr>
          <w:rFonts w:ascii="Arial" w:hAnsi="Arial" w:cs="Arial"/>
          <w:color w:val="000000"/>
          <w:sz w:val="24"/>
          <w:szCs w:val="24"/>
        </w:rPr>
      </w:pPr>
      <w:r>
        <w:rPr>
          <w:rFonts w:ascii="Arial" w:eastAsia="Calibri" w:hAnsi="Arial" w:cs="Arial"/>
          <w:b/>
          <w:sz w:val="24"/>
          <w:szCs w:val="24"/>
        </w:rPr>
        <w:t>Tabla 3. Avances indicadores Objetivo Estratégico 1</w:t>
      </w:r>
    </w:p>
    <w:tbl>
      <w:tblPr>
        <w:tblW w:w="5000" w:type="pct"/>
        <w:tblCellMar>
          <w:left w:w="70" w:type="dxa"/>
          <w:right w:w="70" w:type="dxa"/>
        </w:tblCellMar>
        <w:tblLook w:val="04A0" w:firstRow="1" w:lastRow="0" w:firstColumn="1" w:lastColumn="0" w:noHBand="0" w:noVBand="1"/>
      </w:tblPr>
      <w:tblGrid>
        <w:gridCol w:w="2263"/>
        <w:gridCol w:w="851"/>
        <w:gridCol w:w="1277"/>
        <w:gridCol w:w="4004"/>
        <w:gridCol w:w="433"/>
      </w:tblGrid>
      <w:tr w:rsidR="001A1E21" w:rsidRPr="001A1E21" w14:paraId="3A36E557" w14:textId="77777777" w:rsidTr="001A1E21">
        <w:trPr>
          <w:trHeight w:val="1020"/>
          <w:tblHeader/>
        </w:trPr>
        <w:tc>
          <w:tcPr>
            <w:tcW w:w="5000" w:type="pct"/>
            <w:gridSpan w:val="5"/>
            <w:tcBorders>
              <w:top w:val="single" w:sz="4" w:space="0" w:color="auto"/>
              <w:left w:val="single" w:sz="4" w:space="0" w:color="auto"/>
              <w:bottom w:val="single" w:sz="4" w:space="0" w:color="auto"/>
              <w:right w:val="single" w:sz="4" w:space="0" w:color="auto"/>
            </w:tcBorders>
            <w:shd w:val="clear" w:color="000000" w:fill="70AD47"/>
            <w:vAlign w:val="center"/>
            <w:hideMark/>
          </w:tcPr>
          <w:p w14:paraId="336EBC34" w14:textId="77777777" w:rsidR="001A1E21" w:rsidRPr="001A1E21" w:rsidRDefault="001A1E21" w:rsidP="001A1E21">
            <w:pPr>
              <w:spacing w:line="240" w:lineRule="auto"/>
              <w:rPr>
                <w:rFonts w:ascii="Arial" w:eastAsia="Times New Roman" w:hAnsi="Arial" w:cs="Arial"/>
                <w:b/>
                <w:bCs/>
                <w:color w:val="FFFFFF"/>
                <w:sz w:val="20"/>
                <w:szCs w:val="20"/>
                <w:lang w:eastAsia="es-CO"/>
              </w:rPr>
            </w:pPr>
            <w:r w:rsidRPr="001A1E21">
              <w:rPr>
                <w:rFonts w:ascii="Arial" w:eastAsia="Times New Roman" w:hAnsi="Arial" w:cs="Arial"/>
                <w:b/>
                <w:bCs/>
                <w:color w:val="FFFFFF"/>
                <w:sz w:val="20"/>
                <w:szCs w:val="20"/>
                <w:lang w:eastAsia="es-CO"/>
              </w:rPr>
              <w:t>1. Promover el desarrollo de capacidades para la generación sostenible de ingresos en la comunidad rural, a partir de la realización de intervenciones efectivas y acordes con la vocación agropecuaria de los territorios.</w:t>
            </w:r>
          </w:p>
        </w:tc>
      </w:tr>
      <w:tr w:rsidR="001A1E21" w:rsidRPr="001A1E21" w14:paraId="7F9D6307" w14:textId="77777777" w:rsidTr="00477DE6">
        <w:trPr>
          <w:trHeight w:val="629"/>
          <w:tblHeader/>
        </w:trPr>
        <w:tc>
          <w:tcPr>
            <w:tcW w:w="1282" w:type="pct"/>
            <w:tcBorders>
              <w:top w:val="nil"/>
              <w:left w:val="single" w:sz="4" w:space="0" w:color="auto"/>
              <w:bottom w:val="single" w:sz="4" w:space="0" w:color="auto"/>
              <w:right w:val="single" w:sz="4" w:space="0" w:color="auto"/>
            </w:tcBorders>
            <w:shd w:val="clear" w:color="000000" w:fill="70AD47"/>
            <w:noWrap/>
            <w:vAlign w:val="center"/>
            <w:hideMark/>
          </w:tcPr>
          <w:p w14:paraId="67091B43" w14:textId="77777777" w:rsidR="001A1E21" w:rsidRPr="001A1E21" w:rsidRDefault="001A1E21" w:rsidP="001A1E21">
            <w:pPr>
              <w:spacing w:line="240" w:lineRule="auto"/>
              <w:jc w:val="center"/>
              <w:rPr>
                <w:rFonts w:ascii="Arial" w:eastAsia="Times New Roman" w:hAnsi="Arial" w:cs="Arial"/>
                <w:b/>
                <w:bCs/>
                <w:color w:val="FFFFFF"/>
                <w:sz w:val="20"/>
                <w:szCs w:val="20"/>
                <w:lang w:eastAsia="es-CO"/>
              </w:rPr>
            </w:pPr>
            <w:r w:rsidRPr="001A1E21">
              <w:rPr>
                <w:rFonts w:ascii="Arial" w:eastAsia="Times New Roman" w:hAnsi="Arial" w:cs="Arial"/>
                <w:b/>
                <w:bCs/>
                <w:color w:val="FFFFFF"/>
                <w:sz w:val="20"/>
                <w:szCs w:val="20"/>
                <w:lang w:eastAsia="es-CO"/>
              </w:rPr>
              <w:t>Indicador</w:t>
            </w:r>
          </w:p>
        </w:tc>
        <w:tc>
          <w:tcPr>
            <w:tcW w:w="482" w:type="pct"/>
            <w:tcBorders>
              <w:top w:val="nil"/>
              <w:left w:val="nil"/>
              <w:bottom w:val="single" w:sz="4" w:space="0" w:color="auto"/>
              <w:right w:val="single" w:sz="4" w:space="0" w:color="auto"/>
            </w:tcBorders>
            <w:shd w:val="clear" w:color="000000" w:fill="70AD47"/>
            <w:noWrap/>
            <w:vAlign w:val="center"/>
            <w:hideMark/>
          </w:tcPr>
          <w:p w14:paraId="6367BF51" w14:textId="77777777" w:rsidR="001A1E21" w:rsidRPr="001A1E21" w:rsidRDefault="001A1E21" w:rsidP="001A1E21">
            <w:pPr>
              <w:spacing w:line="240" w:lineRule="auto"/>
              <w:jc w:val="center"/>
              <w:rPr>
                <w:rFonts w:ascii="Arial" w:eastAsia="Times New Roman" w:hAnsi="Arial" w:cs="Arial"/>
                <w:b/>
                <w:bCs/>
                <w:color w:val="FFFFFF"/>
                <w:sz w:val="20"/>
                <w:szCs w:val="20"/>
                <w:lang w:eastAsia="es-CO"/>
              </w:rPr>
            </w:pPr>
            <w:r w:rsidRPr="001A1E21">
              <w:rPr>
                <w:rFonts w:ascii="Arial" w:eastAsia="Times New Roman" w:hAnsi="Arial" w:cs="Arial"/>
                <w:b/>
                <w:bCs/>
                <w:color w:val="FFFFFF"/>
                <w:sz w:val="20"/>
                <w:szCs w:val="20"/>
                <w:lang w:eastAsia="es-CO"/>
              </w:rPr>
              <w:t>Meta</w:t>
            </w:r>
          </w:p>
        </w:tc>
        <w:tc>
          <w:tcPr>
            <w:tcW w:w="723" w:type="pct"/>
            <w:tcBorders>
              <w:top w:val="nil"/>
              <w:left w:val="nil"/>
              <w:bottom w:val="single" w:sz="4" w:space="0" w:color="auto"/>
              <w:right w:val="single" w:sz="4" w:space="0" w:color="auto"/>
            </w:tcBorders>
            <w:shd w:val="clear" w:color="000000" w:fill="70AD47"/>
            <w:vAlign w:val="center"/>
            <w:hideMark/>
          </w:tcPr>
          <w:p w14:paraId="1E23686F" w14:textId="77777777" w:rsidR="001A1E21" w:rsidRPr="001A1E21" w:rsidRDefault="001A1E21" w:rsidP="001A1E21">
            <w:pPr>
              <w:spacing w:line="240" w:lineRule="auto"/>
              <w:jc w:val="center"/>
              <w:rPr>
                <w:rFonts w:ascii="Arial" w:eastAsia="Times New Roman" w:hAnsi="Arial" w:cs="Arial"/>
                <w:b/>
                <w:bCs/>
                <w:color w:val="FFFFFF"/>
                <w:sz w:val="20"/>
                <w:szCs w:val="20"/>
                <w:lang w:eastAsia="es-CO"/>
              </w:rPr>
            </w:pPr>
            <w:r w:rsidRPr="001A1E21">
              <w:rPr>
                <w:rFonts w:ascii="Arial" w:eastAsia="Times New Roman" w:hAnsi="Arial" w:cs="Arial"/>
                <w:b/>
                <w:bCs/>
                <w:color w:val="FFFFFF"/>
                <w:sz w:val="20"/>
                <w:szCs w:val="20"/>
                <w:lang w:eastAsia="es-CO"/>
              </w:rPr>
              <w:t>%Avance cuantitat</w:t>
            </w:r>
            <w:bookmarkStart w:id="0" w:name="_GoBack"/>
            <w:bookmarkEnd w:id="0"/>
            <w:r w:rsidRPr="001A1E21">
              <w:rPr>
                <w:rFonts w:ascii="Arial" w:eastAsia="Times New Roman" w:hAnsi="Arial" w:cs="Arial"/>
                <w:b/>
                <w:bCs/>
                <w:color w:val="FFFFFF"/>
                <w:sz w:val="20"/>
                <w:szCs w:val="20"/>
                <w:lang w:eastAsia="es-CO"/>
              </w:rPr>
              <w:t>ivo</w:t>
            </w:r>
          </w:p>
        </w:tc>
        <w:tc>
          <w:tcPr>
            <w:tcW w:w="2268" w:type="pct"/>
            <w:tcBorders>
              <w:top w:val="nil"/>
              <w:left w:val="nil"/>
              <w:bottom w:val="single" w:sz="4" w:space="0" w:color="auto"/>
              <w:right w:val="single" w:sz="4" w:space="0" w:color="auto"/>
            </w:tcBorders>
            <w:shd w:val="clear" w:color="000000" w:fill="70AD47"/>
            <w:noWrap/>
            <w:vAlign w:val="center"/>
            <w:hideMark/>
          </w:tcPr>
          <w:p w14:paraId="4F6A3447" w14:textId="77777777" w:rsidR="001A1E21" w:rsidRPr="001A1E21" w:rsidRDefault="001A1E21" w:rsidP="001A1E21">
            <w:pPr>
              <w:spacing w:line="240" w:lineRule="auto"/>
              <w:jc w:val="center"/>
              <w:rPr>
                <w:rFonts w:ascii="Arial" w:eastAsia="Times New Roman" w:hAnsi="Arial" w:cs="Arial"/>
                <w:b/>
                <w:bCs/>
                <w:color w:val="FFFFFF"/>
                <w:sz w:val="20"/>
                <w:szCs w:val="20"/>
                <w:lang w:eastAsia="es-CO"/>
              </w:rPr>
            </w:pPr>
            <w:r w:rsidRPr="001A1E21">
              <w:rPr>
                <w:rFonts w:ascii="Arial" w:eastAsia="Times New Roman" w:hAnsi="Arial" w:cs="Arial"/>
                <w:b/>
                <w:bCs/>
                <w:color w:val="FFFFFF"/>
                <w:sz w:val="20"/>
                <w:szCs w:val="20"/>
                <w:lang w:eastAsia="es-CO"/>
              </w:rPr>
              <w:t>Avance Cualitativo</w:t>
            </w:r>
          </w:p>
        </w:tc>
        <w:tc>
          <w:tcPr>
            <w:tcW w:w="245" w:type="pct"/>
            <w:tcBorders>
              <w:top w:val="nil"/>
              <w:left w:val="nil"/>
              <w:bottom w:val="single" w:sz="4" w:space="0" w:color="auto"/>
              <w:right w:val="single" w:sz="4" w:space="0" w:color="auto"/>
            </w:tcBorders>
            <w:shd w:val="clear" w:color="000000" w:fill="70AD47"/>
            <w:noWrap/>
            <w:vAlign w:val="center"/>
            <w:hideMark/>
          </w:tcPr>
          <w:p w14:paraId="38646C59" w14:textId="77777777" w:rsidR="001A1E21" w:rsidRPr="001A1E21" w:rsidRDefault="001A1E21" w:rsidP="001A1E21">
            <w:pPr>
              <w:spacing w:line="240" w:lineRule="auto"/>
              <w:jc w:val="center"/>
              <w:rPr>
                <w:rFonts w:ascii="Arial" w:eastAsia="Times New Roman" w:hAnsi="Arial" w:cs="Arial"/>
                <w:b/>
                <w:bCs/>
                <w:color w:val="FFFFFF"/>
                <w:sz w:val="20"/>
                <w:szCs w:val="20"/>
                <w:lang w:eastAsia="es-CO"/>
              </w:rPr>
            </w:pPr>
            <w:r w:rsidRPr="001A1E21">
              <w:rPr>
                <w:rFonts w:ascii="Arial" w:eastAsia="Times New Roman" w:hAnsi="Arial" w:cs="Arial"/>
                <w:b/>
                <w:bCs/>
                <w:color w:val="FFFFFF"/>
                <w:sz w:val="20"/>
                <w:szCs w:val="20"/>
                <w:lang w:eastAsia="es-CO"/>
              </w:rPr>
              <w:t>4%</w:t>
            </w:r>
          </w:p>
        </w:tc>
      </w:tr>
      <w:tr w:rsidR="001A1E21" w:rsidRPr="001A1E21" w14:paraId="4EB5873A" w14:textId="77777777" w:rsidTr="001A1E21">
        <w:trPr>
          <w:trHeight w:val="1110"/>
        </w:trPr>
        <w:tc>
          <w:tcPr>
            <w:tcW w:w="1282" w:type="pct"/>
            <w:tcBorders>
              <w:top w:val="nil"/>
              <w:left w:val="single" w:sz="4" w:space="0" w:color="auto"/>
              <w:bottom w:val="single" w:sz="4" w:space="0" w:color="auto"/>
              <w:right w:val="single" w:sz="4" w:space="0" w:color="auto"/>
            </w:tcBorders>
            <w:shd w:val="clear" w:color="auto" w:fill="auto"/>
            <w:hideMark/>
          </w:tcPr>
          <w:p w14:paraId="53ECF56F"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Número de planes departamentales de desarrollo agropecuario y rural acompañados 2017-2018</w:t>
            </w:r>
          </w:p>
        </w:tc>
        <w:tc>
          <w:tcPr>
            <w:tcW w:w="482" w:type="pct"/>
            <w:tcBorders>
              <w:top w:val="nil"/>
              <w:left w:val="nil"/>
              <w:bottom w:val="single" w:sz="4" w:space="0" w:color="auto"/>
              <w:right w:val="single" w:sz="4" w:space="0" w:color="auto"/>
            </w:tcBorders>
            <w:shd w:val="clear" w:color="auto" w:fill="auto"/>
            <w:vAlign w:val="center"/>
            <w:hideMark/>
          </w:tcPr>
          <w:p w14:paraId="449080C3"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11</w:t>
            </w:r>
          </w:p>
        </w:tc>
        <w:tc>
          <w:tcPr>
            <w:tcW w:w="723" w:type="pct"/>
            <w:tcBorders>
              <w:top w:val="nil"/>
              <w:left w:val="nil"/>
              <w:bottom w:val="single" w:sz="4" w:space="0" w:color="auto"/>
              <w:right w:val="single" w:sz="4" w:space="0" w:color="auto"/>
            </w:tcBorders>
            <w:shd w:val="clear" w:color="auto" w:fill="auto"/>
            <w:vAlign w:val="center"/>
            <w:hideMark/>
          </w:tcPr>
          <w:p w14:paraId="76A87FB8"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3938AF9A"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programaron reuniones virtuales con las Secretarías de Agricultura, con el fin de dejar inmerso el PIDARET en los planes de desarrollo departamentales.</w:t>
            </w:r>
          </w:p>
        </w:tc>
      </w:tr>
      <w:tr w:rsidR="001A1E21" w:rsidRPr="001A1E21" w14:paraId="69F0450A" w14:textId="77777777" w:rsidTr="001A1E21">
        <w:trPr>
          <w:trHeight w:val="1425"/>
        </w:trPr>
        <w:tc>
          <w:tcPr>
            <w:tcW w:w="1282" w:type="pct"/>
            <w:tcBorders>
              <w:top w:val="nil"/>
              <w:left w:val="single" w:sz="4" w:space="0" w:color="auto"/>
              <w:bottom w:val="single" w:sz="4" w:space="0" w:color="auto"/>
              <w:right w:val="single" w:sz="4" w:space="0" w:color="auto"/>
            </w:tcBorders>
            <w:shd w:val="clear" w:color="auto" w:fill="auto"/>
            <w:hideMark/>
          </w:tcPr>
          <w:p w14:paraId="2511A592"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Número de planes departamentales de desarrollo agropecuario y rural acompañados 2019</w:t>
            </w:r>
          </w:p>
        </w:tc>
        <w:tc>
          <w:tcPr>
            <w:tcW w:w="482" w:type="pct"/>
            <w:tcBorders>
              <w:top w:val="nil"/>
              <w:left w:val="nil"/>
              <w:bottom w:val="single" w:sz="4" w:space="0" w:color="auto"/>
              <w:right w:val="single" w:sz="4" w:space="0" w:color="auto"/>
            </w:tcBorders>
            <w:shd w:val="clear" w:color="auto" w:fill="auto"/>
            <w:vAlign w:val="center"/>
            <w:hideMark/>
          </w:tcPr>
          <w:p w14:paraId="3109A24A"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3</w:t>
            </w:r>
          </w:p>
        </w:tc>
        <w:tc>
          <w:tcPr>
            <w:tcW w:w="723" w:type="pct"/>
            <w:tcBorders>
              <w:top w:val="nil"/>
              <w:left w:val="nil"/>
              <w:bottom w:val="single" w:sz="4" w:space="0" w:color="auto"/>
              <w:right w:val="single" w:sz="4" w:space="0" w:color="auto"/>
            </w:tcBorders>
            <w:shd w:val="clear" w:color="auto" w:fill="auto"/>
            <w:vAlign w:val="center"/>
            <w:hideMark/>
          </w:tcPr>
          <w:p w14:paraId="59A3B8F6"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78FBAB87"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realizaron diferentes reuniones virtuales con los directores territoriales y sus equipos de los departamentos de La Guajira, Chocó, Valle del Cauca, Cauca y Putumayo, para presentarles la metodología de estructuración de los PIDARET.</w:t>
            </w:r>
          </w:p>
        </w:tc>
      </w:tr>
      <w:tr w:rsidR="001A1E21" w:rsidRPr="001A1E21" w14:paraId="3FEBCECE" w14:textId="77777777" w:rsidTr="001A1E21">
        <w:trPr>
          <w:trHeight w:val="753"/>
        </w:trPr>
        <w:tc>
          <w:tcPr>
            <w:tcW w:w="1282" w:type="pct"/>
            <w:tcBorders>
              <w:top w:val="nil"/>
              <w:left w:val="single" w:sz="4" w:space="0" w:color="auto"/>
              <w:bottom w:val="single" w:sz="4" w:space="0" w:color="auto"/>
              <w:right w:val="single" w:sz="4" w:space="0" w:color="auto"/>
            </w:tcBorders>
            <w:shd w:val="clear" w:color="auto" w:fill="auto"/>
            <w:hideMark/>
          </w:tcPr>
          <w:p w14:paraId="41957928"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Numero de planes departamentales de desarrollo agropecuario y rural elaborados</w:t>
            </w:r>
          </w:p>
        </w:tc>
        <w:tc>
          <w:tcPr>
            <w:tcW w:w="482" w:type="pct"/>
            <w:tcBorders>
              <w:top w:val="nil"/>
              <w:left w:val="nil"/>
              <w:bottom w:val="single" w:sz="4" w:space="0" w:color="auto"/>
              <w:right w:val="single" w:sz="4" w:space="0" w:color="auto"/>
            </w:tcBorders>
            <w:shd w:val="clear" w:color="auto" w:fill="auto"/>
            <w:vAlign w:val="center"/>
            <w:hideMark/>
          </w:tcPr>
          <w:p w14:paraId="1E55DC49"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8</w:t>
            </w:r>
          </w:p>
        </w:tc>
        <w:tc>
          <w:tcPr>
            <w:tcW w:w="723" w:type="pct"/>
            <w:tcBorders>
              <w:top w:val="nil"/>
              <w:left w:val="nil"/>
              <w:bottom w:val="single" w:sz="4" w:space="0" w:color="auto"/>
              <w:right w:val="single" w:sz="4" w:space="0" w:color="auto"/>
            </w:tcBorders>
            <w:shd w:val="clear" w:color="auto" w:fill="auto"/>
            <w:vAlign w:val="center"/>
            <w:hideMark/>
          </w:tcPr>
          <w:p w14:paraId="5EF08D72"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4D6F3FB5"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gestiona propuesta financiera para la formulación de 6 PIDARET correspondientes a la meta 2020 teniendo como aliado estratégico a FAO. Adicionalmente se adelantan mesas de trabajo con la UPRA para la identificación de información como insumo para el proceso de Alistamiento y Diagnostico, así como la alienación de metodologías de trabajo para la recopilación de información que beneficie a las instituciones y contribuya con el desarrollo de su accionar.</w:t>
            </w:r>
          </w:p>
        </w:tc>
      </w:tr>
      <w:tr w:rsidR="001A1E21" w:rsidRPr="001A1E21" w14:paraId="3E86B703" w14:textId="77777777" w:rsidTr="001A1E21">
        <w:trPr>
          <w:trHeight w:val="2955"/>
        </w:trPr>
        <w:tc>
          <w:tcPr>
            <w:tcW w:w="1282" w:type="pct"/>
            <w:tcBorders>
              <w:top w:val="nil"/>
              <w:left w:val="single" w:sz="4" w:space="0" w:color="auto"/>
              <w:bottom w:val="single" w:sz="4" w:space="0" w:color="auto"/>
              <w:right w:val="single" w:sz="4" w:space="0" w:color="auto"/>
            </w:tcBorders>
            <w:shd w:val="clear" w:color="auto" w:fill="auto"/>
            <w:hideMark/>
          </w:tcPr>
          <w:p w14:paraId="54699CB0"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Número de proyectos estructurados en la vigencia 2020</w:t>
            </w:r>
          </w:p>
        </w:tc>
        <w:tc>
          <w:tcPr>
            <w:tcW w:w="482" w:type="pct"/>
            <w:tcBorders>
              <w:top w:val="nil"/>
              <w:left w:val="nil"/>
              <w:bottom w:val="single" w:sz="4" w:space="0" w:color="auto"/>
              <w:right w:val="single" w:sz="4" w:space="0" w:color="auto"/>
            </w:tcBorders>
            <w:shd w:val="clear" w:color="auto" w:fill="auto"/>
            <w:vAlign w:val="center"/>
            <w:hideMark/>
          </w:tcPr>
          <w:p w14:paraId="72ACDC55"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91</w:t>
            </w:r>
          </w:p>
        </w:tc>
        <w:tc>
          <w:tcPr>
            <w:tcW w:w="723" w:type="pct"/>
            <w:tcBorders>
              <w:top w:val="nil"/>
              <w:left w:val="nil"/>
              <w:bottom w:val="single" w:sz="4" w:space="0" w:color="auto"/>
              <w:right w:val="single" w:sz="4" w:space="0" w:color="auto"/>
            </w:tcBorders>
            <w:shd w:val="clear" w:color="auto" w:fill="auto"/>
            <w:vAlign w:val="center"/>
            <w:hideMark/>
          </w:tcPr>
          <w:p w14:paraId="6C8DA542"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1109C2E6"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La Agencia se encuentra a la espera de los ajustes del Reglamento para PIDAR por parte del MADR y el proyecto de acuerdo que incluye artículo de transitoriedad frente a los proyectos que cuentan cierto nivel de avance en su estructuración por parte del Consejo Directivo. Adicionalmente, se define propuesta inicial de procedimientos de Perfil y Diagnostico, así como algunos formatos asociados es estos. Sin embargo la ADR ha venido adelantando la estructuración de 12 PIDAR correspondiente a recursos de Unión Europea y 3 de carácter Estratégico Nacional que están bajo el lineamiento de Adecuación de Tierras correspondientes a vigencias anteriores.</w:t>
            </w:r>
          </w:p>
        </w:tc>
      </w:tr>
      <w:tr w:rsidR="001A1E21" w:rsidRPr="001A1E21" w14:paraId="34836558" w14:textId="77777777" w:rsidTr="001A1E21">
        <w:trPr>
          <w:trHeight w:val="1740"/>
        </w:trPr>
        <w:tc>
          <w:tcPr>
            <w:tcW w:w="1282" w:type="pct"/>
            <w:tcBorders>
              <w:top w:val="nil"/>
              <w:left w:val="single" w:sz="4" w:space="0" w:color="auto"/>
              <w:bottom w:val="single" w:sz="4" w:space="0" w:color="auto"/>
              <w:right w:val="single" w:sz="4" w:space="0" w:color="auto"/>
            </w:tcBorders>
            <w:shd w:val="clear" w:color="auto" w:fill="auto"/>
            <w:hideMark/>
          </w:tcPr>
          <w:p w14:paraId="5127D68A"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Documentos Metodológicos elaborados</w:t>
            </w:r>
          </w:p>
        </w:tc>
        <w:tc>
          <w:tcPr>
            <w:tcW w:w="482" w:type="pct"/>
            <w:tcBorders>
              <w:top w:val="nil"/>
              <w:left w:val="nil"/>
              <w:bottom w:val="single" w:sz="4" w:space="0" w:color="auto"/>
              <w:right w:val="single" w:sz="4" w:space="0" w:color="auto"/>
            </w:tcBorders>
            <w:shd w:val="clear" w:color="auto" w:fill="auto"/>
            <w:vAlign w:val="center"/>
            <w:hideMark/>
          </w:tcPr>
          <w:p w14:paraId="005E4DEB"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3CDFE56C"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74712AC9"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adelantaron reuniones técnicas con los equipos involucrados en el tema, y se cuenta con propuestas de procedimiento de Recepción e inscripción de perfiles, Diagnóstico Integral y ejecución de PIDAR, con propuestas de formatos, sin embargo aún se espera la definición de ajuste del Reglamento para PIDAR por parte del Consejo Directivo de la ADR.</w:t>
            </w:r>
          </w:p>
        </w:tc>
      </w:tr>
      <w:tr w:rsidR="001A1E21" w:rsidRPr="001A1E21" w14:paraId="1F5AE15E" w14:textId="77777777" w:rsidTr="001A1E21">
        <w:trPr>
          <w:trHeight w:val="3315"/>
        </w:trPr>
        <w:tc>
          <w:tcPr>
            <w:tcW w:w="1282" w:type="pct"/>
            <w:tcBorders>
              <w:top w:val="nil"/>
              <w:left w:val="single" w:sz="4" w:space="0" w:color="auto"/>
              <w:bottom w:val="single" w:sz="4" w:space="0" w:color="auto"/>
              <w:right w:val="single" w:sz="4" w:space="0" w:color="auto"/>
            </w:tcBorders>
            <w:shd w:val="clear" w:color="auto" w:fill="auto"/>
            <w:hideMark/>
          </w:tcPr>
          <w:p w14:paraId="2FD3B26B"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Estrategias de divulgación implementadas</w:t>
            </w:r>
          </w:p>
        </w:tc>
        <w:tc>
          <w:tcPr>
            <w:tcW w:w="482" w:type="pct"/>
            <w:tcBorders>
              <w:top w:val="nil"/>
              <w:left w:val="nil"/>
              <w:bottom w:val="single" w:sz="4" w:space="0" w:color="auto"/>
              <w:right w:val="single" w:sz="4" w:space="0" w:color="auto"/>
            </w:tcBorders>
            <w:shd w:val="clear" w:color="auto" w:fill="auto"/>
            <w:vAlign w:val="center"/>
            <w:hideMark/>
          </w:tcPr>
          <w:p w14:paraId="6770775A"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609FB8A5"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100%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6A7B82EE"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adelantó la construcción y publicación de cuatro reportajes relacionados con el proyecto. https://www.adr.gov.co/sala-de-prensa/Paginas/La-ADR-le-cumple-a-los-peque%C3%B1os-productores-de-Nari%C3%B1o.aspx 20 de Marzo https://www.adr.gov.co/sala-de-prensa/Paginas/La-ADR-entrego-activos-productivos-al-pueblo-indigena-de-los-Pastos-en-Nari%C3%B1o.aspx 10 de Marzo https://www.adr.gov.co/sala-de-prensa/Paginas/La-ADR-comprometida-con-122-peque%C3%B1os-y-medianos-productores-ovinos-del-Cesar.aspx 6 de marzo https://www.adr.gov.co/sala-de-prensa/Paginas/ADR-entrego-mas-de-233-millones-de-pesos-en-activos-productivos-a-proyecto-lechero-de-Bolivar.aspx 6 de marzo</w:t>
            </w:r>
          </w:p>
        </w:tc>
      </w:tr>
      <w:tr w:rsidR="001A1E21" w:rsidRPr="001A1E21" w14:paraId="36AD6865" w14:textId="77777777" w:rsidTr="001A1E21">
        <w:trPr>
          <w:trHeight w:val="2355"/>
        </w:trPr>
        <w:tc>
          <w:tcPr>
            <w:tcW w:w="1282" w:type="pct"/>
            <w:tcBorders>
              <w:top w:val="nil"/>
              <w:left w:val="single" w:sz="4" w:space="0" w:color="auto"/>
              <w:bottom w:val="single" w:sz="4" w:space="0" w:color="auto"/>
              <w:right w:val="single" w:sz="4" w:space="0" w:color="auto"/>
            </w:tcBorders>
            <w:shd w:val="clear" w:color="auto" w:fill="auto"/>
            <w:hideMark/>
          </w:tcPr>
          <w:p w14:paraId="7C84A51E"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Hectáreas con sistemas de riego, drenaje o protección contra inundaciones individuales construidos</w:t>
            </w:r>
          </w:p>
        </w:tc>
        <w:tc>
          <w:tcPr>
            <w:tcW w:w="482" w:type="pct"/>
            <w:tcBorders>
              <w:top w:val="nil"/>
              <w:left w:val="nil"/>
              <w:bottom w:val="single" w:sz="4" w:space="0" w:color="auto"/>
              <w:right w:val="single" w:sz="4" w:space="0" w:color="auto"/>
            </w:tcBorders>
            <w:shd w:val="clear" w:color="auto" w:fill="auto"/>
            <w:vAlign w:val="center"/>
            <w:hideMark/>
          </w:tcPr>
          <w:p w14:paraId="07BF652A"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1430</w:t>
            </w:r>
          </w:p>
        </w:tc>
        <w:tc>
          <w:tcPr>
            <w:tcW w:w="723" w:type="pct"/>
            <w:tcBorders>
              <w:top w:val="nil"/>
              <w:left w:val="nil"/>
              <w:bottom w:val="single" w:sz="4" w:space="0" w:color="auto"/>
              <w:right w:val="single" w:sz="4" w:space="0" w:color="auto"/>
            </w:tcBorders>
            <w:shd w:val="clear" w:color="auto" w:fill="auto"/>
            <w:vAlign w:val="center"/>
            <w:hideMark/>
          </w:tcPr>
          <w:p w14:paraId="5498BA13"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02273F20"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La Agencia se encuentra a la espera de los ajustes del Reglamento para PIDAR por parte del MADR y el proyecto de acuerdo que incluye artículo de transitoriedad frente a los proyectos que cuentan con cierto nivel de avance en su estructuración por parte del Consejo Directivo. Sin embargo la ADR ha venido adelantando la estructuración de 12 PIDAR correspondiente a recursos de Unión Europea y 3 de carácter Estratégico Nacional que están bajo el lineamiento de Adecuación de Tierras correspondientes a vigencias anteriores.</w:t>
            </w:r>
          </w:p>
        </w:tc>
      </w:tr>
      <w:tr w:rsidR="001A1E21" w:rsidRPr="001A1E21" w14:paraId="4DA90177" w14:textId="77777777" w:rsidTr="001A1E21">
        <w:trPr>
          <w:trHeight w:val="1305"/>
        </w:trPr>
        <w:tc>
          <w:tcPr>
            <w:tcW w:w="1282" w:type="pct"/>
            <w:tcBorders>
              <w:top w:val="nil"/>
              <w:left w:val="single" w:sz="4" w:space="0" w:color="auto"/>
              <w:bottom w:val="single" w:sz="4" w:space="0" w:color="auto"/>
              <w:right w:val="single" w:sz="4" w:space="0" w:color="auto"/>
            </w:tcBorders>
            <w:shd w:val="clear" w:color="auto" w:fill="auto"/>
            <w:hideMark/>
          </w:tcPr>
          <w:p w14:paraId="358AC642"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Proyectos Integrales de Desarrollo Agropecuario y Rural Cofinanciados con recursos de la vigencia 2020</w:t>
            </w:r>
          </w:p>
        </w:tc>
        <w:tc>
          <w:tcPr>
            <w:tcW w:w="482" w:type="pct"/>
            <w:tcBorders>
              <w:top w:val="nil"/>
              <w:left w:val="nil"/>
              <w:bottom w:val="single" w:sz="4" w:space="0" w:color="auto"/>
              <w:right w:val="single" w:sz="4" w:space="0" w:color="auto"/>
            </w:tcBorders>
            <w:shd w:val="clear" w:color="auto" w:fill="auto"/>
            <w:vAlign w:val="center"/>
            <w:hideMark/>
          </w:tcPr>
          <w:p w14:paraId="27E49B1C"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56</w:t>
            </w:r>
          </w:p>
        </w:tc>
        <w:tc>
          <w:tcPr>
            <w:tcW w:w="723" w:type="pct"/>
            <w:tcBorders>
              <w:top w:val="nil"/>
              <w:left w:val="nil"/>
              <w:bottom w:val="single" w:sz="4" w:space="0" w:color="auto"/>
              <w:right w:val="single" w:sz="4" w:space="0" w:color="auto"/>
            </w:tcBorders>
            <w:shd w:val="clear" w:color="auto" w:fill="auto"/>
            <w:vAlign w:val="center"/>
            <w:hideMark/>
          </w:tcPr>
          <w:p w14:paraId="081F3F7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31D1835B"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No se realizó Cofinanciación de Proyectos con recursos vigencia 2020.</w:t>
            </w:r>
          </w:p>
        </w:tc>
      </w:tr>
      <w:tr w:rsidR="001A1E21" w:rsidRPr="001A1E21" w14:paraId="479014F4" w14:textId="77777777" w:rsidTr="001A1E21">
        <w:trPr>
          <w:trHeight w:val="765"/>
        </w:trPr>
        <w:tc>
          <w:tcPr>
            <w:tcW w:w="1282" w:type="pct"/>
            <w:tcBorders>
              <w:top w:val="nil"/>
              <w:left w:val="single" w:sz="4" w:space="0" w:color="auto"/>
              <w:bottom w:val="single" w:sz="4" w:space="0" w:color="auto"/>
              <w:right w:val="single" w:sz="4" w:space="0" w:color="auto"/>
            </w:tcBorders>
            <w:shd w:val="clear" w:color="auto" w:fill="auto"/>
            <w:hideMark/>
          </w:tcPr>
          <w:p w14:paraId="67AA100A"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Productores beneficiados con cofinanciación de proyectos en la vigencia 2020</w:t>
            </w:r>
          </w:p>
        </w:tc>
        <w:tc>
          <w:tcPr>
            <w:tcW w:w="482" w:type="pct"/>
            <w:tcBorders>
              <w:top w:val="nil"/>
              <w:left w:val="nil"/>
              <w:bottom w:val="single" w:sz="4" w:space="0" w:color="auto"/>
              <w:right w:val="single" w:sz="4" w:space="0" w:color="auto"/>
            </w:tcBorders>
            <w:shd w:val="clear" w:color="auto" w:fill="auto"/>
            <w:vAlign w:val="center"/>
            <w:hideMark/>
          </w:tcPr>
          <w:p w14:paraId="0236395C"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3038</w:t>
            </w:r>
          </w:p>
        </w:tc>
        <w:tc>
          <w:tcPr>
            <w:tcW w:w="723" w:type="pct"/>
            <w:tcBorders>
              <w:top w:val="nil"/>
              <w:left w:val="nil"/>
              <w:bottom w:val="single" w:sz="4" w:space="0" w:color="auto"/>
              <w:right w:val="single" w:sz="4" w:space="0" w:color="auto"/>
            </w:tcBorders>
            <w:shd w:val="clear" w:color="auto" w:fill="auto"/>
            <w:vAlign w:val="center"/>
            <w:hideMark/>
          </w:tcPr>
          <w:p w14:paraId="75433D35"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2F9022B4"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No se realizó cofinanciación de proyectos con vigencia 2020 en el periodo. </w:t>
            </w:r>
          </w:p>
        </w:tc>
      </w:tr>
      <w:tr w:rsidR="001A1E21" w:rsidRPr="001A1E21" w14:paraId="0500E4D5" w14:textId="77777777" w:rsidTr="001A1E21">
        <w:trPr>
          <w:trHeight w:val="1515"/>
        </w:trPr>
        <w:tc>
          <w:tcPr>
            <w:tcW w:w="1282" w:type="pct"/>
            <w:tcBorders>
              <w:top w:val="nil"/>
              <w:left w:val="single" w:sz="4" w:space="0" w:color="auto"/>
              <w:bottom w:val="single" w:sz="4" w:space="0" w:color="auto"/>
              <w:right w:val="single" w:sz="4" w:space="0" w:color="auto"/>
            </w:tcBorders>
            <w:shd w:val="clear" w:color="auto" w:fill="auto"/>
            <w:hideMark/>
          </w:tcPr>
          <w:p w14:paraId="7D80AC01"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Documento con el diseño del Sistema de alertas</w:t>
            </w:r>
          </w:p>
        </w:tc>
        <w:tc>
          <w:tcPr>
            <w:tcW w:w="482" w:type="pct"/>
            <w:tcBorders>
              <w:top w:val="nil"/>
              <w:left w:val="nil"/>
              <w:bottom w:val="single" w:sz="4" w:space="0" w:color="auto"/>
              <w:right w:val="single" w:sz="4" w:space="0" w:color="auto"/>
            </w:tcBorders>
            <w:shd w:val="clear" w:color="auto" w:fill="auto"/>
            <w:vAlign w:val="center"/>
            <w:hideMark/>
          </w:tcPr>
          <w:p w14:paraId="4C539A9F"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3E5FB422"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788E452E"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Durante el mes marzo se adelantaron gestiones para la construcción del documento del diseño de alertas, como la revisión del procedimiento, creación de formato de matriz de alertas, formato plan de mejoramiento, entre otros, insumos que serán tenidos en cuenta para el cumplimiento de la meta.</w:t>
            </w:r>
          </w:p>
        </w:tc>
      </w:tr>
      <w:tr w:rsidR="001A1E21" w:rsidRPr="001A1E21" w14:paraId="4E70B756" w14:textId="77777777" w:rsidTr="001A1E21">
        <w:trPr>
          <w:trHeight w:val="2160"/>
        </w:trPr>
        <w:tc>
          <w:tcPr>
            <w:tcW w:w="1282" w:type="pct"/>
            <w:tcBorders>
              <w:top w:val="nil"/>
              <w:left w:val="single" w:sz="4" w:space="0" w:color="auto"/>
              <w:bottom w:val="single" w:sz="4" w:space="0" w:color="auto"/>
              <w:right w:val="single" w:sz="4" w:space="0" w:color="auto"/>
            </w:tcBorders>
            <w:shd w:val="clear" w:color="auto" w:fill="auto"/>
            <w:hideMark/>
          </w:tcPr>
          <w:p w14:paraId="0E57813F"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Documento con requerimiento del Banco de Proyectos actualizado</w:t>
            </w:r>
          </w:p>
        </w:tc>
        <w:tc>
          <w:tcPr>
            <w:tcW w:w="482" w:type="pct"/>
            <w:tcBorders>
              <w:top w:val="nil"/>
              <w:left w:val="nil"/>
              <w:bottom w:val="single" w:sz="4" w:space="0" w:color="auto"/>
              <w:right w:val="single" w:sz="4" w:space="0" w:color="auto"/>
            </w:tcBorders>
            <w:shd w:val="clear" w:color="auto" w:fill="auto"/>
            <w:vAlign w:val="center"/>
            <w:hideMark/>
          </w:tcPr>
          <w:p w14:paraId="4E05F466"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557DD4D4"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575AB8CF"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No se ha llevado a cabo la entrega del levantamiento de información a responsable Banco de Proyectos, ya que a la fecha no se cuenta con  la versión final del procedimiento y formatos de la Dirección de Evaluación y Calificación. El líder y equipo de la Dirección están pendientes de reunión con la VIP para concertar información que debe relacionarse en formatos. Adicionalmente, el procedimiento y formatos deberán ser socializados.</w:t>
            </w:r>
          </w:p>
        </w:tc>
      </w:tr>
      <w:tr w:rsidR="001A1E21" w:rsidRPr="001A1E21" w14:paraId="5685CCE3" w14:textId="77777777" w:rsidTr="001A1E21">
        <w:trPr>
          <w:trHeight w:val="1485"/>
        </w:trPr>
        <w:tc>
          <w:tcPr>
            <w:tcW w:w="1282" w:type="pct"/>
            <w:tcBorders>
              <w:top w:val="nil"/>
              <w:left w:val="single" w:sz="4" w:space="0" w:color="auto"/>
              <w:bottom w:val="single" w:sz="4" w:space="0" w:color="auto"/>
              <w:right w:val="single" w:sz="4" w:space="0" w:color="auto"/>
            </w:tcBorders>
            <w:shd w:val="clear" w:color="auto" w:fill="auto"/>
            <w:hideMark/>
          </w:tcPr>
          <w:p w14:paraId="55364BC9"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Evaluaciones de Proyectos Integrales de Desarrollo Agropecuario y Rural realizadas</w:t>
            </w:r>
          </w:p>
        </w:tc>
        <w:tc>
          <w:tcPr>
            <w:tcW w:w="482" w:type="pct"/>
            <w:tcBorders>
              <w:top w:val="nil"/>
              <w:left w:val="nil"/>
              <w:bottom w:val="single" w:sz="4" w:space="0" w:color="auto"/>
              <w:right w:val="single" w:sz="4" w:space="0" w:color="auto"/>
            </w:tcBorders>
            <w:shd w:val="clear" w:color="auto" w:fill="auto"/>
            <w:vAlign w:val="center"/>
            <w:hideMark/>
          </w:tcPr>
          <w:p w14:paraId="1F064D4A"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120</w:t>
            </w:r>
          </w:p>
        </w:tc>
        <w:tc>
          <w:tcPr>
            <w:tcW w:w="723" w:type="pct"/>
            <w:tcBorders>
              <w:top w:val="nil"/>
              <w:left w:val="nil"/>
              <w:bottom w:val="single" w:sz="4" w:space="0" w:color="auto"/>
              <w:right w:val="single" w:sz="4" w:space="0" w:color="auto"/>
            </w:tcBorders>
            <w:shd w:val="clear" w:color="auto" w:fill="auto"/>
            <w:vAlign w:val="center"/>
            <w:hideMark/>
          </w:tcPr>
          <w:p w14:paraId="4FCFDF9B"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74C22156"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reporta un proyecto Evaluado y Calificado: Uno (1) PIDAR: 1. BP1862. Se encuentran asignados seis (6) proyectos para evaluación: 1. BP799 2. BP723 3. BP492 4. BP759 5. BP539 6. BP284. Estos proyectos se relacionan en Matriz de Seguimiento de Plan de Acción cargada como anexo en el mes de febrero.</w:t>
            </w:r>
          </w:p>
        </w:tc>
      </w:tr>
      <w:tr w:rsidR="001A1E21" w:rsidRPr="001A1E21" w14:paraId="049BEEB4" w14:textId="77777777" w:rsidTr="001A1E21">
        <w:trPr>
          <w:trHeight w:val="1305"/>
        </w:trPr>
        <w:tc>
          <w:tcPr>
            <w:tcW w:w="1282" w:type="pct"/>
            <w:tcBorders>
              <w:top w:val="nil"/>
              <w:left w:val="single" w:sz="4" w:space="0" w:color="auto"/>
              <w:bottom w:val="single" w:sz="4" w:space="0" w:color="auto"/>
              <w:right w:val="single" w:sz="4" w:space="0" w:color="auto"/>
            </w:tcBorders>
            <w:shd w:val="clear" w:color="auto" w:fill="auto"/>
            <w:hideMark/>
          </w:tcPr>
          <w:p w14:paraId="661208FD"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Informes de seguimiento a PIDAR cofinanciados elaborados</w:t>
            </w:r>
          </w:p>
        </w:tc>
        <w:tc>
          <w:tcPr>
            <w:tcW w:w="482" w:type="pct"/>
            <w:tcBorders>
              <w:top w:val="nil"/>
              <w:left w:val="nil"/>
              <w:bottom w:val="single" w:sz="4" w:space="0" w:color="auto"/>
              <w:right w:val="single" w:sz="4" w:space="0" w:color="auto"/>
            </w:tcBorders>
            <w:shd w:val="clear" w:color="auto" w:fill="auto"/>
            <w:vAlign w:val="center"/>
            <w:hideMark/>
          </w:tcPr>
          <w:p w14:paraId="5CEFBAA9"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280</w:t>
            </w:r>
          </w:p>
        </w:tc>
        <w:tc>
          <w:tcPr>
            <w:tcW w:w="723" w:type="pct"/>
            <w:tcBorders>
              <w:top w:val="nil"/>
              <w:left w:val="nil"/>
              <w:bottom w:val="single" w:sz="4" w:space="0" w:color="auto"/>
              <w:right w:val="single" w:sz="4" w:space="0" w:color="auto"/>
            </w:tcBorders>
            <w:shd w:val="clear" w:color="auto" w:fill="auto"/>
            <w:vAlign w:val="center"/>
            <w:hideMark/>
          </w:tcPr>
          <w:p w14:paraId="73D8BCAF"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5CCB76DD"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Durante el mes de marzo se adelantaron gestiones para la elaboración de los informes de seguimiento a PIDAR, como el monitoreo de 30 proyectos, monitoreo a UTT de acuerdo a la información reportada por las mismas.</w:t>
            </w:r>
          </w:p>
        </w:tc>
      </w:tr>
      <w:tr w:rsidR="001A1E21" w:rsidRPr="001A1E21" w14:paraId="6DECD3D5" w14:textId="77777777" w:rsidTr="001A1E21">
        <w:trPr>
          <w:trHeight w:val="1920"/>
        </w:trPr>
        <w:tc>
          <w:tcPr>
            <w:tcW w:w="1282" w:type="pct"/>
            <w:tcBorders>
              <w:top w:val="nil"/>
              <w:left w:val="single" w:sz="4" w:space="0" w:color="auto"/>
              <w:bottom w:val="single" w:sz="4" w:space="0" w:color="auto"/>
              <w:right w:val="single" w:sz="4" w:space="0" w:color="auto"/>
            </w:tcBorders>
            <w:shd w:val="clear" w:color="auto" w:fill="auto"/>
            <w:hideMark/>
          </w:tcPr>
          <w:p w14:paraId="6D2130E0"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Documento metodológico socializado</w:t>
            </w:r>
          </w:p>
        </w:tc>
        <w:tc>
          <w:tcPr>
            <w:tcW w:w="482" w:type="pct"/>
            <w:tcBorders>
              <w:top w:val="nil"/>
              <w:left w:val="nil"/>
              <w:bottom w:val="single" w:sz="4" w:space="0" w:color="auto"/>
              <w:right w:val="single" w:sz="4" w:space="0" w:color="auto"/>
            </w:tcBorders>
            <w:shd w:val="clear" w:color="auto" w:fill="auto"/>
            <w:vAlign w:val="center"/>
            <w:hideMark/>
          </w:tcPr>
          <w:p w14:paraId="2D5CF823"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62A82CCE"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68CBCFB9"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asignaron líderes y encargados de mesas de trabajo y se estableció cronograma de actividades. Se conforman mesas de trabajo con equipo de la Dirección de Calificación y Financiación para construcción del procedimiento y formatos y se realizó mesa de trabajo con el Despacho de la Vicepresidencia de Proyectos. Así mismo, se realizó primera mesa de Trabajo con la Oficina de Planeación. </w:t>
            </w:r>
          </w:p>
        </w:tc>
      </w:tr>
      <w:tr w:rsidR="001A1E21" w:rsidRPr="001A1E21" w14:paraId="3B40D54E" w14:textId="77777777" w:rsidTr="001A1E21">
        <w:trPr>
          <w:trHeight w:val="945"/>
        </w:trPr>
        <w:tc>
          <w:tcPr>
            <w:tcW w:w="1282" w:type="pct"/>
            <w:tcBorders>
              <w:top w:val="nil"/>
              <w:left w:val="single" w:sz="4" w:space="0" w:color="auto"/>
              <w:bottom w:val="single" w:sz="4" w:space="0" w:color="auto"/>
              <w:right w:val="single" w:sz="4" w:space="0" w:color="auto"/>
            </w:tcBorders>
            <w:shd w:val="clear" w:color="auto" w:fill="auto"/>
            <w:hideMark/>
          </w:tcPr>
          <w:p w14:paraId="3187743D"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Postulaciones del programa de Vivienda de Interés Social Rural del MADR tramitadas</w:t>
            </w:r>
          </w:p>
        </w:tc>
        <w:tc>
          <w:tcPr>
            <w:tcW w:w="482" w:type="pct"/>
            <w:tcBorders>
              <w:top w:val="nil"/>
              <w:left w:val="nil"/>
              <w:bottom w:val="single" w:sz="4" w:space="0" w:color="auto"/>
              <w:right w:val="single" w:sz="4" w:space="0" w:color="auto"/>
            </w:tcBorders>
            <w:shd w:val="clear" w:color="auto" w:fill="auto"/>
            <w:vAlign w:val="center"/>
            <w:hideMark/>
          </w:tcPr>
          <w:p w14:paraId="34830454"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300</w:t>
            </w:r>
          </w:p>
        </w:tc>
        <w:tc>
          <w:tcPr>
            <w:tcW w:w="723" w:type="pct"/>
            <w:tcBorders>
              <w:top w:val="nil"/>
              <w:left w:val="nil"/>
              <w:bottom w:val="single" w:sz="4" w:space="0" w:color="auto"/>
              <w:right w:val="single" w:sz="4" w:space="0" w:color="auto"/>
            </w:tcBorders>
            <w:shd w:val="clear" w:color="auto" w:fill="auto"/>
            <w:vAlign w:val="center"/>
            <w:hideMark/>
          </w:tcPr>
          <w:p w14:paraId="2149DEE3"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3%</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29F8722C"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Con corte al mes de marzo, se han adelantado 9 sustituciones como entidad promotora.</w:t>
            </w:r>
          </w:p>
        </w:tc>
      </w:tr>
      <w:tr w:rsidR="001A1E21" w:rsidRPr="001A1E21" w14:paraId="3B7FAE7C" w14:textId="77777777" w:rsidTr="001A1E21">
        <w:trPr>
          <w:trHeight w:val="1335"/>
        </w:trPr>
        <w:tc>
          <w:tcPr>
            <w:tcW w:w="1282" w:type="pct"/>
            <w:tcBorders>
              <w:top w:val="nil"/>
              <w:left w:val="single" w:sz="4" w:space="0" w:color="auto"/>
              <w:bottom w:val="single" w:sz="4" w:space="0" w:color="auto"/>
              <w:right w:val="single" w:sz="4" w:space="0" w:color="auto"/>
            </w:tcBorders>
            <w:shd w:val="clear" w:color="auto" w:fill="auto"/>
            <w:hideMark/>
          </w:tcPr>
          <w:p w14:paraId="4143EA93"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Asociaciones apoyadas formalizadas</w:t>
            </w:r>
          </w:p>
        </w:tc>
        <w:tc>
          <w:tcPr>
            <w:tcW w:w="482" w:type="pct"/>
            <w:tcBorders>
              <w:top w:val="nil"/>
              <w:left w:val="nil"/>
              <w:bottom w:val="single" w:sz="4" w:space="0" w:color="auto"/>
              <w:right w:val="single" w:sz="4" w:space="0" w:color="auto"/>
            </w:tcBorders>
            <w:shd w:val="clear" w:color="auto" w:fill="auto"/>
            <w:vAlign w:val="center"/>
            <w:hideMark/>
          </w:tcPr>
          <w:p w14:paraId="658AF00D"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8</w:t>
            </w:r>
          </w:p>
        </w:tc>
        <w:tc>
          <w:tcPr>
            <w:tcW w:w="723" w:type="pct"/>
            <w:tcBorders>
              <w:top w:val="nil"/>
              <w:left w:val="nil"/>
              <w:bottom w:val="single" w:sz="4" w:space="0" w:color="auto"/>
              <w:right w:val="single" w:sz="4" w:space="0" w:color="auto"/>
            </w:tcBorders>
            <w:shd w:val="clear" w:color="auto" w:fill="auto"/>
            <w:vAlign w:val="center"/>
            <w:hideMark/>
          </w:tcPr>
          <w:p w14:paraId="1E281D15"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03F079DC"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avanzó en la actualización de la Metodología de Fomento y Fortalecimiento Asociativo denominada Metodología Integral de </w:t>
            </w:r>
            <w:proofErr w:type="spellStart"/>
            <w:r w:rsidRPr="001A1E21">
              <w:rPr>
                <w:rFonts w:ascii="Arial" w:eastAsia="Times New Roman" w:hAnsi="Arial" w:cs="Arial"/>
                <w:color w:val="000000"/>
                <w:sz w:val="20"/>
                <w:szCs w:val="20"/>
                <w:lang w:eastAsia="es-CO"/>
              </w:rPr>
              <w:t>Asociatividad</w:t>
            </w:r>
            <w:proofErr w:type="spellEnd"/>
            <w:r w:rsidRPr="001A1E21">
              <w:rPr>
                <w:rFonts w:ascii="Arial" w:eastAsia="Times New Roman" w:hAnsi="Arial" w:cs="Arial"/>
                <w:color w:val="000000"/>
                <w:sz w:val="20"/>
                <w:szCs w:val="20"/>
                <w:lang w:eastAsia="es-CO"/>
              </w:rPr>
              <w:t xml:space="preserve"> - MIA, que incluye la definición de estrategias que se aplicarán en la creación y formalización de organizaciones sociales, comunitarias o productivas rurales.</w:t>
            </w:r>
          </w:p>
        </w:tc>
      </w:tr>
      <w:tr w:rsidR="001A1E21" w:rsidRPr="001A1E21" w14:paraId="42BB7DD8" w14:textId="77777777" w:rsidTr="001A1E21">
        <w:trPr>
          <w:trHeight w:val="1680"/>
        </w:trPr>
        <w:tc>
          <w:tcPr>
            <w:tcW w:w="1282" w:type="pct"/>
            <w:tcBorders>
              <w:top w:val="nil"/>
              <w:left w:val="single" w:sz="4" w:space="0" w:color="auto"/>
              <w:bottom w:val="single" w:sz="4" w:space="0" w:color="auto"/>
              <w:right w:val="single" w:sz="4" w:space="0" w:color="auto"/>
            </w:tcBorders>
            <w:shd w:val="clear" w:color="auto" w:fill="auto"/>
            <w:hideMark/>
          </w:tcPr>
          <w:p w14:paraId="2C55A26A"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Asociaciones de mujeres rurales formalizadas</w:t>
            </w:r>
          </w:p>
        </w:tc>
        <w:tc>
          <w:tcPr>
            <w:tcW w:w="482" w:type="pct"/>
            <w:tcBorders>
              <w:top w:val="nil"/>
              <w:left w:val="nil"/>
              <w:bottom w:val="single" w:sz="4" w:space="0" w:color="auto"/>
              <w:right w:val="single" w:sz="4" w:space="0" w:color="auto"/>
            </w:tcBorders>
            <w:shd w:val="clear" w:color="auto" w:fill="auto"/>
            <w:vAlign w:val="center"/>
            <w:hideMark/>
          </w:tcPr>
          <w:p w14:paraId="6C448E67"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w:t>
            </w:r>
          </w:p>
        </w:tc>
        <w:tc>
          <w:tcPr>
            <w:tcW w:w="723" w:type="pct"/>
            <w:tcBorders>
              <w:top w:val="nil"/>
              <w:left w:val="nil"/>
              <w:bottom w:val="single" w:sz="4" w:space="0" w:color="auto"/>
              <w:right w:val="single" w:sz="4" w:space="0" w:color="auto"/>
            </w:tcBorders>
            <w:shd w:val="clear" w:color="auto" w:fill="auto"/>
            <w:vAlign w:val="center"/>
            <w:hideMark/>
          </w:tcPr>
          <w:p w14:paraId="1D17F3B7"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3AED7558"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avanzó en la actualización de la Metodología de Fomento y Fortalecimiento Asociativo denominada Metodología Integral de </w:t>
            </w:r>
            <w:proofErr w:type="spellStart"/>
            <w:r w:rsidRPr="001A1E21">
              <w:rPr>
                <w:rFonts w:ascii="Arial" w:eastAsia="Times New Roman" w:hAnsi="Arial" w:cs="Arial"/>
                <w:color w:val="000000"/>
                <w:sz w:val="20"/>
                <w:szCs w:val="20"/>
                <w:lang w:eastAsia="es-CO"/>
              </w:rPr>
              <w:t>Asociatividad</w:t>
            </w:r>
            <w:proofErr w:type="spellEnd"/>
            <w:r w:rsidRPr="001A1E21">
              <w:rPr>
                <w:rFonts w:ascii="Arial" w:eastAsia="Times New Roman" w:hAnsi="Arial" w:cs="Arial"/>
                <w:color w:val="000000"/>
                <w:sz w:val="20"/>
                <w:szCs w:val="20"/>
                <w:lang w:eastAsia="es-CO"/>
              </w:rPr>
              <w:t xml:space="preserve"> - MIA, que incluye la definición de estrategias que se aplicarán en la creación y formalización de organizaciones sociales, comunitarias o productivas rurales.</w:t>
            </w:r>
          </w:p>
        </w:tc>
      </w:tr>
      <w:tr w:rsidR="001A1E21" w:rsidRPr="001A1E21" w14:paraId="598243D3" w14:textId="77777777" w:rsidTr="001A1E21">
        <w:trPr>
          <w:trHeight w:val="611"/>
        </w:trPr>
        <w:tc>
          <w:tcPr>
            <w:tcW w:w="1282" w:type="pct"/>
            <w:tcBorders>
              <w:top w:val="nil"/>
              <w:left w:val="single" w:sz="4" w:space="0" w:color="auto"/>
              <w:bottom w:val="single" w:sz="4" w:space="0" w:color="auto"/>
              <w:right w:val="single" w:sz="4" w:space="0" w:color="auto"/>
            </w:tcBorders>
            <w:shd w:val="clear" w:color="auto" w:fill="auto"/>
            <w:hideMark/>
          </w:tcPr>
          <w:p w14:paraId="2DD7AF3F"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Asociaciones de mujeres rurales fortalecidas</w:t>
            </w:r>
          </w:p>
        </w:tc>
        <w:tc>
          <w:tcPr>
            <w:tcW w:w="482" w:type="pct"/>
            <w:tcBorders>
              <w:top w:val="nil"/>
              <w:left w:val="nil"/>
              <w:bottom w:val="single" w:sz="4" w:space="0" w:color="auto"/>
              <w:right w:val="single" w:sz="4" w:space="0" w:color="auto"/>
            </w:tcBorders>
            <w:shd w:val="clear" w:color="auto" w:fill="auto"/>
            <w:vAlign w:val="center"/>
            <w:hideMark/>
          </w:tcPr>
          <w:p w14:paraId="466ACD5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w:t>
            </w:r>
          </w:p>
        </w:tc>
        <w:tc>
          <w:tcPr>
            <w:tcW w:w="723" w:type="pct"/>
            <w:tcBorders>
              <w:top w:val="nil"/>
              <w:left w:val="nil"/>
              <w:bottom w:val="single" w:sz="4" w:space="0" w:color="auto"/>
              <w:right w:val="single" w:sz="4" w:space="0" w:color="auto"/>
            </w:tcBorders>
            <w:shd w:val="clear" w:color="auto" w:fill="auto"/>
            <w:vAlign w:val="center"/>
            <w:hideMark/>
          </w:tcPr>
          <w:p w14:paraId="0A53769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3EF85FDC"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contemplaron dentro de los criterios de priorización organizaciones conformadas mayoritariamente por mujeres, encontrando 6 de ellas dentro de las 70 organizaciones establecidas como meta de la vigencia 2020. Estas seis (6) organizaciones se localizan en los </w:t>
            </w:r>
            <w:r w:rsidRPr="001A1E21">
              <w:rPr>
                <w:rFonts w:ascii="Arial" w:eastAsia="Times New Roman" w:hAnsi="Arial" w:cs="Arial"/>
                <w:color w:val="000000"/>
                <w:sz w:val="20"/>
                <w:szCs w:val="20"/>
                <w:lang w:eastAsia="es-CO"/>
              </w:rPr>
              <w:lastRenderedPageBreak/>
              <w:t>departamentos de Meta, Huila, Quindío y Chocó y cuentan con una participación total de 377 mujeres asociadas.</w:t>
            </w:r>
          </w:p>
        </w:tc>
      </w:tr>
      <w:tr w:rsidR="001A1E21" w:rsidRPr="001A1E21" w14:paraId="14CCFAB8" w14:textId="77777777" w:rsidTr="001A1E21">
        <w:trPr>
          <w:trHeight w:val="3990"/>
        </w:trPr>
        <w:tc>
          <w:tcPr>
            <w:tcW w:w="1282" w:type="pct"/>
            <w:tcBorders>
              <w:top w:val="nil"/>
              <w:left w:val="single" w:sz="4" w:space="0" w:color="auto"/>
              <w:bottom w:val="single" w:sz="4" w:space="0" w:color="auto"/>
              <w:right w:val="single" w:sz="4" w:space="0" w:color="auto"/>
            </w:tcBorders>
            <w:shd w:val="clear" w:color="auto" w:fill="auto"/>
            <w:hideMark/>
          </w:tcPr>
          <w:p w14:paraId="7570EBBD"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Asociaciones fortalecidas</w:t>
            </w:r>
          </w:p>
        </w:tc>
        <w:tc>
          <w:tcPr>
            <w:tcW w:w="482" w:type="pct"/>
            <w:tcBorders>
              <w:top w:val="nil"/>
              <w:left w:val="nil"/>
              <w:bottom w:val="single" w:sz="4" w:space="0" w:color="auto"/>
              <w:right w:val="single" w:sz="4" w:space="0" w:color="auto"/>
            </w:tcBorders>
            <w:shd w:val="clear" w:color="auto" w:fill="auto"/>
            <w:vAlign w:val="center"/>
            <w:hideMark/>
          </w:tcPr>
          <w:p w14:paraId="081095B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65</w:t>
            </w:r>
          </w:p>
        </w:tc>
        <w:tc>
          <w:tcPr>
            <w:tcW w:w="723" w:type="pct"/>
            <w:tcBorders>
              <w:top w:val="nil"/>
              <w:left w:val="nil"/>
              <w:bottom w:val="single" w:sz="4" w:space="0" w:color="auto"/>
              <w:right w:val="single" w:sz="4" w:space="0" w:color="auto"/>
            </w:tcBorders>
            <w:shd w:val="clear" w:color="auto" w:fill="auto"/>
            <w:vAlign w:val="center"/>
            <w:hideMark/>
          </w:tcPr>
          <w:p w14:paraId="7F4B6DA8"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0BBAB561"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trabajó en la definición de una estrategia de implementación de pre-diagnóstico remoto para caracterizar Organizaciones Sociales Comunitarias productivas rurales - OSCPR beneficiarias de PIDAR, así como en la priorización de 100 organizaciones con resolución de aprobación, que fueron beneficiarias a través de 40 PIDAR, para ser fortalecidas en la presente vigencia. A partir de los resultados del pre-diagnóstico, se definirán las 70 organizaciones que serán beneficiarias de fortalecimiento asociativo. Se avanzó en la actualización de la Metodología de Fomento y Fortalecimiento Asociativo denominada Metodología Integral de </w:t>
            </w:r>
            <w:proofErr w:type="spellStart"/>
            <w:r w:rsidRPr="001A1E21">
              <w:rPr>
                <w:rFonts w:ascii="Arial" w:eastAsia="Times New Roman" w:hAnsi="Arial" w:cs="Arial"/>
                <w:color w:val="000000"/>
                <w:sz w:val="20"/>
                <w:szCs w:val="20"/>
                <w:lang w:eastAsia="es-CO"/>
              </w:rPr>
              <w:t>Asociatividad</w:t>
            </w:r>
            <w:proofErr w:type="spellEnd"/>
            <w:r w:rsidRPr="001A1E21">
              <w:rPr>
                <w:rFonts w:ascii="Arial" w:eastAsia="Times New Roman" w:hAnsi="Arial" w:cs="Arial"/>
                <w:color w:val="000000"/>
                <w:sz w:val="20"/>
                <w:szCs w:val="20"/>
                <w:lang w:eastAsia="es-CO"/>
              </w:rPr>
              <w:t xml:space="preserve"> - MIA, que incluye la definición de competencias administrativas y psicosociales que se abordarán en el proceso de fortalecimiento. Se continúa con el proceso de conformación de los equipos de trabajo tanto a nivel central como territorial que están a cargo de este producto.</w:t>
            </w:r>
          </w:p>
        </w:tc>
      </w:tr>
      <w:tr w:rsidR="001A1E21" w:rsidRPr="001A1E21" w14:paraId="42DCC72A" w14:textId="77777777" w:rsidTr="001A1E21">
        <w:trPr>
          <w:trHeight w:val="2475"/>
        </w:trPr>
        <w:tc>
          <w:tcPr>
            <w:tcW w:w="1282" w:type="pct"/>
            <w:tcBorders>
              <w:top w:val="nil"/>
              <w:left w:val="single" w:sz="4" w:space="0" w:color="auto"/>
              <w:bottom w:val="single" w:sz="4" w:space="0" w:color="auto"/>
              <w:right w:val="single" w:sz="4" w:space="0" w:color="auto"/>
            </w:tcBorders>
            <w:shd w:val="clear" w:color="auto" w:fill="auto"/>
            <w:hideMark/>
          </w:tcPr>
          <w:p w14:paraId="16BB2C54"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Productores apoyados con estrategia de fomento</w:t>
            </w:r>
          </w:p>
        </w:tc>
        <w:tc>
          <w:tcPr>
            <w:tcW w:w="482" w:type="pct"/>
            <w:tcBorders>
              <w:top w:val="nil"/>
              <w:left w:val="nil"/>
              <w:bottom w:val="single" w:sz="4" w:space="0" w:color="auto"/>
              <w:right w:val="single" w:sz="4" w:space="0" w:color="auto"/>
            </w:tcBorders>
            <w:shd w:val="clear" w:color="auto" w:fill="auto"/>
            <w:vAlign w:val="center"/>
            <w:hideMark/>
          </w:tcPr>
          <w:p w14:paraId="25A050EF"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500</w:t>
            </w:r>
          </w:p>
        </w:tc>
        <w:tc>
          <w:tcPr>
            <w:tcW w:w="723" w:type="pct"/>
            <w:tcBorders>
              <w:top w:val="nil"/>
              <w:left w:val="nil"/>
              <w:bottom w:val="single" w:sz="4" w:space="0" w:color="auto"/>
              <w:right w:val="single" w:sz="4" w:space="0" w:color="auto"/>
            </w:tcBorders>
            <w:shd w:val="clear" w:color="auto" w:fill="auto"/>
            <w:vAlign w:val="center"/>
            <w:hideMark/>
          </w:tcPr>
          <w:p w14:paraId="124DA01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47026B57"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definieron las regiones en las cuales se desarrollarán los Encuentros territoriales, así: Valle del Cauca, Quindío, Caldas, Norte de Santander, Cauca, Córdoba, Sucre, Bolívar, Magdalena, Bogotá (Específico para mujer rural) y, zonas PDET: Alto Patía (Cauca), </w:t>
            </w:r>
            <w:proofErr w:type="spellStart"/>
            <w:r w:rsidRPr="001A1E21">
              <w:rPr>
                <w:rFonts w:ascii="Arial" w:eastAsia="Times New Roman" w:hAnsi="Arial" w:cs="Arial"/>
                <w:color w:val="000000"/>
                <w:sz w:val="20"/>
                <w:szCs w:val="20"/>
                <w:lang w:eastAsia="es-CO"/>
              </w:rPr>
              <w:t>Caguán</w:t>
            </w:r>
            <w:proofErr w:type="spellEnd"/>
            <w:r w:rsidRPr="001A1E21">
              <w:rPr>
                <w:rFonts w:ascii="Arial" w:eastAsia="Times New Roman" w:hAnsi="Arial" w:cs="Arial"/>
                <w:color w:val="000000"/>
                <w:sz w:val="20"/>
                <w:szCs w:val="20"/>
                <w:lang w:eastAsia="es-CO"/>
              </w:rPr>
              <w:t xml:space="preserve"> (Caquetá), Montes de María (Sucre/Bolívar). La DPA se encuentra a disposición de iniciar la ejecución de los Encuentros Territoriales una vez se perfeccione el contrato con el Operador logístico por parte de la ADR, y culmine la cuarentena nacional para la realización de este tipo de eventos masivos.</w:t>
            </w:r>
          </w:p>
        </w:tc>
      </w:tr>
      <w:tr w:rsidR="001A1E21" w:rsidRPr="001A1E21" w14:paraId="4F2E27A6" w14:textId="77777777" w:rsidTr="001A1E21">
        <w:trPr>
          <w:trHeight w:val="2295"/>
        </w:trPr>
        <w:tc>
          <w:tcPr>
            <w:tcW w:w="1282" w:type="pct"/>
            <w:tcBorders>
              <w:top w:val="nil"/>
              <w:left w:val="single" w:sz="4" w:space="0" w:color="auto"/>
              <w:bottom w:val="single" w:sz="4" w:space="0" w:color="auto"/>
              <w:right w:val="single" w:sz="4" w:space="0" w:color="auto"/>
            </w:tcBorders>
            <w:shd w:val="clear" w:color="auto" w:fill="auto"/>
            <w:hideMark/>
          </w:tcPr>
          <w:p w14:paraId="2AD178F1"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Productores del programa ACFC apoyados</w:t>
            </w:r>
          </w:p>
        </w:tc>
        <w:tc>
          <w:tcPr>
            <w:tcW w:w="482" w:type="pct"/>
            <w:tcBorders>
              <w:top w:val="nil"/>
              <w:left w:val="nil"/>
              <w:bottom w:val="single" w:sz="4" w:space="0" w:color="auto"/>
              <w:right w:val="single" w:sz="4" w:space="0" w:color="auto"/>
            </w:tcBorders>
            <w:shd w:val="clear" w:color="auto" w:fill="auto"/>
            <w:vAlign w:val="center"/>
            <w:hideMark/>
          </w:tcPr>
          <w:p w14:paraId="4119717E"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50</w:t>
            </w:r>
          </w:p>
        </w:tc>
        <w:tc>
          <w:tcPr>
            <w:tcW w:w="723" w:type="pct"/>
            <w:tcBorders>
              <w:top w:val="nil"/>
              <w:left w:val="nil"/>
              <w:bottom w:val="single" w:sz="4" w:space="0" w:color="auto"/>
              <w:right w:val="single" w:sz="4" w:space="0" w:color="auto"/>
            </w:tcBorders>
            <w:shd w:val="clear" w:color="auto" w:fill="auto"/>
            <w:vAlign w:val="center"/>
            <w:hideMark/>
          </w:tcPr>
          <w:p w14:paraId="0823D49B"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619FEC03"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avanzó en la actualización de la Metodología de Fomento y Fortalecimiento Asociativo denominada Metodología Integral de </w:t>
            </w:r>
            <w:proofErr w:type="spellStart"/>
            <w:r w:rsidRPr="001A1E21">
              <w:rPr>
                <w:rFonts w:ascii="Arial" w:eastAsia="Times New Roman" w:hAnsi="Arial" w:cs="Arial"/>
                <w:color w:val="000000"/>
                <w:sz w:val="20"/>
                <w:szCs w:val="20"/>
                <w:lang w:eastAsia="es-CO"/>
              </w:rPr>
              <w:t>Asociatividad</w:t>
            </w:r>
            <w:proofErr w:type="spellEnd"/>
            <w:r w:rsidRPr="001A1E21">
              <w:rPr>
                <w:rFonts w:ascii="Arial" w:eastAsia="Times New Roman" w:hAnsi="Arial" w:cs="Arial"/>
                <w:color w:val="000000"/>
                <w:sz w:val="20"/>
                <w:szCs w:val="20"/>
                <w:lang w:eastAsia="es-CO"/>
              </w:rPr>
              <w:t xml:space="preserve"> - MIA, que se aplicará para la promoción organizativa de la Agricultura Campesina, Familiar y Comunitaria -ACFC Realización de la Mesa técnica de articulación interinstitucional con el MADR para concertar las acciones conjuntas para la vigencia 2020, así como el diseño de estrategias para garantizar la participación ciudadana en instancias de decisión local. Se diseñó el instrumento de Identificación de población ACFC y su instructivo de diligenciamiento, el cual fue enviado al MADR para su revisión y retroalimentación. Se continúa con el proceso de conformación de los equipos de trabajo tanto a nivel central como territorial que están a cargo de este producto.</w:t>
            </w:r>
          </w:p>
        </w:tc>
      </w:tr>
      <w:tr w:rsidR="001A1E21" w:rsidRPr="001A1E21" w14:paraId="6D1428FB" w14:textId="77777777" w:rsidTr="001A1E21">
        <w:trPr>
          <w:trHeight w:val="2040"/>
        </w:trPr>
        <w:tc>
          <w:tcPr>
            <w:tcW w:w="1282" w:type="pct"/>
            <w:tcBorders>
              <w:top w:val="nil"/>
              <w:left w:val="single" w:sz="4" w:space="0" w:color="auto"/>
              <w:bottom w:val="single" w:sz="4" w:space="0" w:color="auto"/>
              <w:right w:val="single" w:sz="4" w:space="0" w:color="auto"/>
            </w:tcBorders>
            <w:shd w:val="clear" w:color="auto" w:fill="auto"/>
            <w:hideMark/>
          </w:tcPr>
          <w:p w14:paraId="38B3EF1C"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Municipios con circuitos cortos de comercialización implementados (mercados campesinos y </w:t>
            </w:r>
            <w:proofErr w:type="spellStart"/>
            <w:r w:rsidRPr="001A1E21">
              <w:rPr>
                <w:rFonts w:ascii="Arial" w:eastAsia="Times New Roman" w:hAnsi="Arial" w:cs="Arial"/>
                <w:color w:val="000000"/>
                <w:sz w:val="20"/>
                <w:szCs w:val="20"/>
                <w:lang w:eastAsia="es-CO"/>
              </w:rPr>
              <w:t>agroferias</w:t>
            </w:r>
            <w:proofErr w:type="spellEnd"/>
            <w:r w:rsidRPr="001A1E21">
              <w:rPr>
                <w:rFonts w:ascii="Arial" w:eastAsia="Times New Roman" w:hAnsi="Arial" w:cs="Arial"/>
                <w:color w:val="000000"/>
                <w:sz w:val="20"/>
                <w:szCs w:val="20"/>
                <w:lang w:eastAsia="es-CO"/>
              </w:rPr>
              <w:t>)</w:t>
            </w:r>
          </w:p>
        </w:tc>
        <w:tc>
          <w:tcPr>
            <w:tcW w:w="482" w:type="pct"/>
            <w:tcBorders>
              <w:top w:val="nil"/>
              <w:left w:val="nil"/>
              <w:bottom w:val="single" w:sz="4" w:space="0" w:color="auto"/>
              <w:right w:val="single" w:sz="4" w:space="0" w:color="auto"/>
            </w:tcBorders>
            <w:shd w:val="clear" w:color="auto" w:fill="auto"/>
            <w:vAlign w:val="center"/>
            <w:hideMark/>
          </w:tcPr>
          <w:p w14:paraId="69E8DCE9"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39</w:t>
            </w:r>
          </w:p>
        </w:tc>
        <w:tc>
          <w:tcPr>
            <w:tcW w:w="723" w:type="pct"/>
            <w:tcBorders>
              <w:top w:val="nil"/>
              <w:left w:val="nil"/>
              <w:bottom w:val="single" w:sz="4" w:space="0" w:color="auto"/>
              <w:right w:val="single" w:sz="4" w:space="0" w:color="auto"/>
            </w:tcBorders>
            <w:shd w:val="clear" w:color="auto" w:fill="auto"/>
            <w:vAlign w:val="center"/>
            <w:hideMark/>
          </w:tcPr>
          <w:p w14:paraId="256FCB62"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4CDA484A"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registra una intervención con circuitos cortos en los municipios de Pesca -Boyacá y Bogotá D.C,-Cundinamarca: _UTT 13: Mercado Campesino realizado el 10 de marzo en el parqueadero de la ADR, 30 organizaciones de productores agrícolas participantes. Ventas Directas $16.707.400 _UTT 7: Mercado Campesino realizado el 8 de marzo, en Pesca Boyacá, 5 Organizaciones productores participantes. Ventas Directas $414.500.</w:t>
            </w:r>
          </w:p>
        </w:tc>
      </w:tr>
      <w:tr w:rsidR="001A1E21" w:rsidRPr="001A1E21" w14:paraId="43D7BB2D" w14:textId="77777777" w:rsidTr="001A1E21">
        <w:trPr>
          <w:trHeight w:val="1005"/>
        </w:trPr>
        <w:tc>
          <w:tcPr>
            <w:tcW w:w="1282" w:type="pct"/>
            <w:tcBorders>
              <w:top w:val="nil"/>
              <w:left w:val="single" w:sz="4" w:space="0" w:color="auto"/>
              <w:bottom w:val="single" w:sz="4" w:space="0" w:color="auto"/>
              <w:right w:val="single" w:sz="4" w:space="0" w:color="auto"/>
            </w:tcBorders>
            <w:shd w:val="clear" w:color="auto" w:fill="auto"/>
            <w:hideMark/>
          </w:tcPr>
          <w:p w14:paraId="397506D1"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Organizaciones participando de asesorías comerciales especializadas</w:t>
            </w:r>
          </w:p>
        </w:tc>
        <w:tc>
          <w:tcPr>
            <w:tcW w:w="482" w:type="pct"/>
            <w:tcBorders>
              <w:top w:val="nil"/>
              <w:left w:val="nil"/>
              <w:bottom w:val="single" w:sz="4" w:space="0" w:color="auto"/>
              <w:right w:val="single" w:sz="4" w:space="0" w:color="auto"/>
            </w:tcBorders>
            <w:shd w:val="clear" w:color="auto" w:fill="auto"/>
            <w:vAlign w:val="center"/>
            <w:hideMark/>
          </w:tcPr>
          <w:p w14:paraId="59934D7A"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80</w:t>
            </w:r>
          </w:p>
        </w:tc>
        <w:tc>
          <w:tcPr>
            <w:tcW w:w="723" w:type="pct"/>
            <w:tcBorders>
              <w:top w:val="nil"/>
              <w:left w:val="nil"/>
              <w:bottom w:val="single" w:sz="4" w:space="0" w:color="auto"/>
              <w:right w:val="single" w:sz="4" w:space="0" w:color="auto"/>
            </w:tcBorders>
            <w:shd w:val="clear" w:color="auto" w:fill="auto"/>
            <w:vAlign w:val="center"/>
            <w:hideMark/>
          </w:tcPr>
          <w:p w14:paraId="03101B17"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1BEBE5B3"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plantea tener en cuenta las 40 organizaciones caracterizadas y valoradas en el 2019 para definir el perfil y ruta de atención.</w:t>
            </w:r>
          </w:p>
        </w:tc>
      </w:tr>
      <w:tr w:rsidR="001A1E21" w:rsidRPr="001A1E21" w14:paraId="5FF6A820" w14:textId="77777777" w:rsidTr="001A1E21">
        <w:trPr>
          <w:trHeight w:val="2460"/>
        </w:trPr>
        <w:tc>
          <w:tcPr>
            <w:tcW w:w="1282" w:type="pct"/>
            <w:tcBorders>
              <w:top w:val="nil"/>
              <w:left w:val="single" w:sz="4" w:space="0" w:color="auto"/>
              <w:bottom w:val="single" w:sz="4" w:space="0" w:color="auto"/>
              <w:right w:val="single" w:sz="4" w:space="0" w:color="auto"/>
            </w:tcBorders>
            <w:shd w:val="clear" w:color="auto" w:fill="auto"/>
            <w:hideMark/>
          </w:tcPr>
          <w:p w14:paraId="46349233"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Circuitos cortos de comercialización (ruedas de negocios, mercados campesinos, </w:t>
            </w:r>
            <w:proofErr w:type="spellStart"/>
            <w:r w:rsidRPr="001A1E21">
              <w:rPr>
                <w:rFonts w:ascii="Arial" w:eastAsia="Times New Roman" w:hAnsi="Arial" w:cs="Arial"/>
                <w:color w:val="000000"/>
                <w:sz w:val="20"/>
                <w:szCs w:val="20"/>
                <w:lang w:eastAsia="es-CO"/>
              </w:rPr>
              <w:t>agroferias</w:t>
            </w:r>
            <w:proofErr w:type="spellEnd"/>
            <w:r w:rsidRPr="001A1E21">
              <w:rPr>
                <w:rFonts w:ascii="Arial" w:eastAsia="Times New Roman" w:hAnsi="Arial" w:cs="Arial"/>
                <w:color w:val="000000"/>
                <w:sz w:val="20"/>
                <w:szCs w:val="20"/>
                <w:lang w:eastAsia="es-CO"/>
              </w:rPr>
              <w:t xml:space="preserve"> comerciales) realizados</w:t>
            </w:r>
          </w:p>
        </w:tc>
        <w:tc>
          <w:tcPr>
            <w:tcW w:w="482" w:type="pct"/>
            <w:tcBorders>
              <w:top w:val="nil"/>
              <w:left w:val="nil"/>
              <w:bottom w:val="single" w:sz="4" w:space="0" w:color="auto"/>
              <w:right w:val="single" w:sz="4" w:space="0" w:color="auto"/>
            </w:tcBorders>
            <w:shd w:val="clear" w:color="auto" w:fill="auto"/>
            <w:vAlign w:val="center"/>
            <w:hideMark/>
          </w:tcPr>
          <w:p w14:paraId="69D99B19"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47</w:t>
            </w:r>
          </w:p>
        </w:tc>
        <w:tc>
          <w:tcPr>
            <w:tcW w:w="723" w:type="pct"/>
            <w:tcBorders>
              <w:top w:val="nil"/>
              <w:left w:val="nil"/>
              <w:bottom w:val="single" w:sz="4" w:space="0" w:color="auto"/>
              <w:right w:val="single" w:sz="4" w:space="0" w:color="auto"/>
            </w:tcBorders>
            <w:shd w:val="clear" w:color="auto" w:fill="auto"/>
            <w:vAlign w:val="center"/>
            <w:hideMark/>
          </w:tcPr>
          <w:p w14:paraId="5C1FEF7D"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4%</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50336D58"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realizan 2 mercados campesinos: _ La UTT 13 realizó su primer mercado campesino en el parqueadero de la ADR en Bogotá - Cundinamarca, con la participación de 30 organizaciones de productores agrícolas participantes. Ventas Directas $16.707.400. _La UTT 7 realizó mercado campesino en el municipio de Pesca- Boyacá, con la participación de 5 Organizaciones productores participantes. Ventas Directas $414.500. Queda suspendido el programa de articulación para circuitos cortos con el EJC y el programa fe en Colombia por contingencia del COVID 19.</w:t>
            </w:r>
          </w:p>
        </w:tc>
      </w:tr>
      <w:tr w:rsidR="001A1E21" w:rsidRPr="001A1E21" w14:paraId="204F4100" w14:textId="77777777" w:rsidTr="001A1E21">
        <w:trPr>
          <w:trHeight w:val="1590"/>
        </w:trPr>
        <w:tc>
          <w:tcPr>
            <w:tcW w:w="1282" w:type="pct"/>
            <w:tcBorders>
              <w:top w:val="nil"/>
              <w:left w:val="single" w:sz="4" w:space="0" w:color="auto"/>
              <w:bottom w:val="single" w:sz="4" w:space="0" w:color="auto"/>
              <w:right w:val="single" w:sz="4" w:space="0" w:color="auto"/>
            </w:tcBorders>
            <w:shd w:val="clear" w:color="auto" w:fill="auto"/>
            <w:hideMark/>
          </w:tcPr>
          <w:p w14:paraId="149CC7B1"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Departamentos intervenidos con implementación de la estrategia nacional de compras públicas locales</w:t>
            </w:r>
          </w:p>
        </w:tc>
        <w:tc>
          <w:tcPr>
            <w:tcW w:w="482" w:type="pct"/>
            <w:tcBorders>
              <w:top w:val="nil"/>
              <w:left w:val="nil"/>
              <w:bottom w:val="single" w:sz="4" w:space="0" w:color="auto"/>
              <w:right w:val="single" w:sz="4" w:space="0" w:color="auto"/>
            </w:tcBorders>
            <w:shd w:val="clear" w:color="auto" w:fill="auto"/>
            <w:vAlign w:val="center"/>
            <w:hideMark/>
          </w:tcPr>
          <w:p w14:paraId="5DA592A3"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12</w:t>
            </w:r>
          </w:p>
        </w:tc>
        <w:tc>
          <w:tcPr>
            <w:tcW w:w="723" w:type="pct"/>
            <w:tcBorders>
              <w:top w:val="nil"/>
              <w:left w:val="nil"/>
              <w:bottom w:val="single" w:sz="4" w:space="0" w:color="auto"/>
              <w:right w:val="single" w:sz="4" w:space="0" w:color="auto"/>
            </w:tcBorders>
            <w:shd w:val="clear" w:color="auto" w:fill="auto"/>
            <w:vAlign w:val="center"/>
            <w:hideMark/>
          </w:tcPr>
          <w:p w14:paraId="33F7600A"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342C3DE5"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desarrolló la Fase 2 de la mesa técnica territorial en los departamentos de: 3 - Marzo Risaralda-Pereira UTT 6, 4- Marzo Caldas -Manizales UTT 6, 5 - Marzo Quindío- Armenia UTT 6, 10 Marzo. Arauca UTT 7, 12 marzo: Putumayo UTT 10, 18 Marzo: Nariño UTT 10, 19 Marzo: Sucre UTT 3. Fase 3: 13 Marzo: Meta - Villavicencio UTT 12, 13 Marzo: Tolima - Ibagué UTT 8.</w:t>
            </w:r>
          </w:p>
        </w:tc>
      </w:tr>
      <w:tr w:rsidR="001A1E21" w:rsidRPr="001A1E21" w14:paraId="587C3E2C" w14:textId="77777777" w:rsidTr="001A1E21">
        <w:trPr>
          <w:trHeight w:val="1725"/>
        </w:trPr>
        <w:tc>
          <w:tcPr>
            <w:tcW w:w="1282" w:type="pct"/>
            <w:tcBorders>
              <w:top w:val="nil"/>
              <w:left w:val="single" w:sz="4" w:space="0" w:color="auto"/>
              <w:bottom w:val="single" w:sz="4" w:space="0" w:color="auto"/>
              <w:right w:val="single" w:sz="4" w:space="0" w:color="auto"/>
            </w:tcBorders>
            <w:shd w:val="clear" w:color="auto" w:fill="auto"/>
            <w:hideMark/>
          </w:tcPr>
          <w:p w14:paraId="1B7D696E"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Grupos de actores territoriales y de cadenas empresariales fortalecidos</w:t>
            </w:r>
          </w:p>
        </w:tc>
        <w:tc>
          <w:tcPr>
            <w:tcW w:w="482" w:type="pct"/>
            <w:tcBorders>
              <w:top w:val="nil"/>
              <w:left w:val="nil"/>
              <w:bottom w:val="single" w:sz="4" w:space="0" w:color="auto"/>
              <w:right w:val="single" w:sz="4" w:space="0" w:color="auto"/>
            </w:tcBorders>
            <w:shd w:val="clear" w:color="auto" w:fill="auto"/>
            <w:vAlign w:val="center"/>
            <w:hideMark/>
          </w:tcPr>
          <w:p w14:paraId="35425EED"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29</w:t>
            </w:r>
          </w:p>
        </w:tc>
        <w:tc>
          <w:tcPr>
            <w:tcW w:w="723" w:type="pct"/>
            <w:tcBorders>
              <w:top w:val="nil"/>
              <w:left w:val="nil"/>
              <w:bottom w:val="single" w:sz="4" w:space="0" w:color="auto"/>
              <w:right w:val="single" w:sz="4" w:space="0" w:color="auto"/>
            </w:tcBorders>
            <w:shd w:val="clear" w:color="auto" w:fill="auto"/>
            <w:vAlign w:val="center"/>
            <w:hideMark/>
          </w:tcPr>
          <w:p w14:paraId="4E408C4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1D517182"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realizó propuesta de plan de acción con enfoque en articulación con la Agencia de Renovación del Territorio (ART), Programa Fe en Colombia (EJC) y Unidad de Restitución de Tierras (URT). Las actividades de articulación territorial se enfocan en abastecimiento por contingencia COVID -19, lo cual no ha permitido avances con las agremiaciones.</w:t>
            </w:r>
          </w:p>
        </w:tc>
      </w:tr>
      <w:tr w:rsidR="001A1E21" w:rsidRPr="001A1E21" w14:paraId="21BE0A8F" w14:textId="77777777" w:rsidTr="001A1E21">
        <w:trPr>
          <w:trHeight w:val="1365"/>
        </w:trPr>
        <w:tc>
          <w:tcPr>
            <w:tcW w:w="1282" w:type="pct"/>
            <w:tcBorders>
              <w:top w:val="nil"/>
              <w:left w:val="single" w:sz="4" w:space="0" w:color="auto"/>
              <w:bottom w:val="single" w:sz="4" w:space="0" w:color="auto"/>
              <w:right w:val="single" w:sz="4" w:space="0" w:color="auto"/>
            </w:tcBorders>
            <w:shd w:val="clear" w:color="auto" w:fill="auto"/>
            <w:hideMark/>
          </w:tcPr>
          <w:p w14:paraId="316A15CC"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Organizaciones de Productores con participación en el desarrollo de encadenamientos comerciales, apoyadas</w:t>
            </w:r>
          </w:p>
        </w:tc>
        <w:tc>
          <w:tcPr>
            <w:tcW w:w="482" w:type="pct"/>
            <w:tcBorders>
              <w:top w:val="nil"/>
              <w:left w:val="nil"/>
              <w:bottom w:val="single" w:sz="4" w:space="0" w:color="auto"/>
              <w:right w:val="single" w:sz="4" w:space="0" w:color="auto"/>
            </w:tcBorders>
            <w:shd w:val="clear" w:color="auto" w:fill="auto"/>
            <w:vAlign w:val="center"/>
            <w:hideMark/>
          </w:tcPr>
          <w:p w14:paraId="4DD2F798"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55</w:t>
            </w:r>
          </w:p>
        </w:tc>
        <w:tc>
          <w:tcPr>
            <w:tcW w:w="723" w:type="pct"/>
            <w:tcBorders>
              <w:top w:val="nil"/>
              <w:left w:val="nil"/>
              <w:bottom w:val="single" w:sz="4" w:space="0" w:color="auto"/>
              <w:right w:val="single" w:sz="4" w:space="0" w:color="auto"/>
            </w:tcBorders>
            <w:shd w:val="clear" w:color="auto" w:fill="auto"/>
            <w:vAlign w:val="center"/>
            <w:hideMark/>
          </w:tcPr>
          <w:p w14:paraId="31715CCF"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65023BD3"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realizaron actividades de consolidación e información para buscar alianzas comerciales a los productos en sobreabastecimiento de las diferentes </w:t>
            </w:r>
            <w:proofErr w:type="spellStart"/>
            <w:r w:rsidRPr="001A1E21">
              <w:rPr>
                <w:rFonts w:ascii="Arial" w:eastAsia="Times New Roman" w:hAnsi="Arial" w:cs="Arial"/>
                <w:color w:val="000000"/>
                <w:sz w:val="20"/>
                <w:szCs w:val="20"/>
                <w:lang w:eastAsia="es-CO"/>
              </w:rPr>
              <w:t>UTT´s</w:t>
            </w:r>
            <w:proofErr w:type="spellEnd"/>
            <w:r w:rsidRPr="001A1E21">
              <w:rPr>
                <w:rFonts w:ascii="Arial" w:eastAsia="Times New Roman" w:hAnsi="Arial" w:cs="Arial"/>
                <w:color w:val="000000"/>
                <w:sz w:val="20"/>
                <w:szCs w:val="20"/>
                <w:lang w:eastAsia="es-CO"/>
              </w:rPr>
              <w:t>, con la información de las mesas de abastecimiento nacionales.</w:t>
            </w:r>
          </w:p>
        </w:tc>
      </w:tr>
      <w:tr w:rsidR="001A1E21" w:rsidRPr="001A1E21" w14:paraId="40C21CDE" w14:textId="77777777" w:rsidTr="001A1E21">
        <w:trPr>
          <w:trHeight w:val="1650"/>
        </w:trPr>
        <w:tc>
          <w:tcPr>
            <w:tcW w:w="1282" w:type="pct"/>
            <w:tcBorders>
              <w:top w:val="nil"/>
              <w:left w:val="single" w:sz="4" w:space="0" w:color="auto"/>
              <w:bottom w:val="single" w:sz="4" w:space="0" w:color="auto"/>
              <w:right w:val="single" w:sz="4" w:space="0" w:color="auto"/>
            </w:tcBorders>
            <w:shd w:val="clear" w:color="auto" w:fill="auto"/>
            <w:hideMark/>
          </w:tcPr>
          <w:p w14:paraId="12A7E1ED"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Organizaciones de productores formales apoyadas</w:t>
            </w:r>
          </w:p>
        </w:tc>
        <w:tc>
          <w:tcPr>
            <w:tcW w:w="482" w:type="pct"/>
            <w:tcBorders>
              <w:top w:val="nil"/>
              <w:left w:val="nil"/>
              <w:bottom w:val="single" w:sz="4" w:space="0" w:color="auto"/>
              <w:right w:val="single" w:sz="4" w:space="0" w:color="auto"/>
            </w:tcBorders>
            <w:shd w:val="clear" w:color="auto" w:fill="auto"/>
            <w:vAlign w:val="center"/>
            <w:hideMark/>
          </w:tcPr>
          <w:p w14:paraId="4D92E9A2"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1819CFF5"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314BB742"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 xml:space="preserve">Se realiza ejercicio de identificación de oferta nacional, para abastecimiento en el marco de la contingencia del </w:t>
            </w:r>
            <w:proofErr w:type="spellStart"/>
            <w:r w:rsidRPr="001A1E21">
              <w:rPr>
                <w:rFonts w:ascii="Arial" w:eastAsia="Times New Roman" w:hAnsi="Arial" w:cs="Arial"/>
                <w:color w:val="000000"/>
                <w:sz w:val="20"/>
                <w:szCs w:val="20"/>
                <w:lang w:eastAsia="es-CO"/>
              </w:rPr>
              <w:t>Covid</w:t>
            </w:r>
            <w:proofErr w:type="spellEnd"/>
            <w:r w:rsidRPr="001A1E21">
              <w:rPr>
                <w:rFonts w:ascii="Arial" w:eastAsia="Times New Roman" w:hAnsi="Arial" w:cs="Arial"/>
                <w:color w:val="000000"/>
                <w:sz w:val="20"/>
                <w:szCs w:val="20"/>
                <w:lang w:eastAsia="es-CO"/>
              </w:rPr>
              <w:t xml:space="preserve"> -19. Ejercicio de actualización de información de las 30 organizaciones caracterizadas en el 2019 y PIDAR para conformación de base de oferta nacional.</w:t>
            </w:r>
          </w:p>
        </w:tc>
      </w:tr>
      <w:tr w:rsidR="001A1E21" w:rsidRPr="001A1E21" w14:paraId="24F28E64" w14:textId="77777777" w:rsidTr="001A1E21">
        <w:trPr>
          <w:trHeight w:val="2655"/>
        </w:trPr>
        <w:tc>
          <w:tcPr>
            <w:tcW w:w="1282" w:type="pct"/>
            <w:tcBorders>
              <w:top w:val="nil"/>
              <w:left w:val="single" w:sz="4" w:space="0" w:color="auto"/>
              <w:bottom w:val="single" w:sz="4" w:space="0" w:color="auto"/>
              <w:right w:val="single" w:sz="4" w:space="0" w:color="auto"/>
            </w:tcBorders>
            <w:shd w:val="clear" w:color="auto" w:fill="auto"/>
            <w:hideMark/>
          </w:tcPr>
          <w:p w14:paraId="71DA4BD5"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Organizaciones de Productores, con participación en el desarrollo de Circuitos Cortos (ruedas de negocios, mercados campesinos, compras públicas, ferias comerciales) apoyadas</w:t>
            </w:r>
          </w:p>
        </w:tc>
        <w:tc>
          <w:tcPr>
            <w:tcW w:w="482" w:type="pct"/>
            <w:tcBorders>
              <w:top w:val="nil"/>
              <w:left w:val="nil"/>
              <w:bottom w:val="single" w:sz="4" w:space="0" w:color="auto"/>
              <w:right w:val="single" w:sz="4" w:space="0" w:color="auto"/>
            </w:tcBorders>
            <w:shd w:val="clear" w:color="auto" w:fill="auto"/>
            <w:vAlign w:val="center"/>
            <w:hideMark/>
          </w:tcPr>
          <w:p w14:paraId="5E9C2CC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600</w:t>
            </w:r>
          </w:p>
        </w:tc>
        <w:tc>
          <w:tcPr>
            <w:tcW w:w="723" w:type="pct"/>
            <w:tcBorders>
              <w:top w:val="nil"/>
              <w:left w:val="nil"/>
              <w:bottom w:val="single" w:sz="4" w:space="0" w:color="auto"/>
              <w:right w:val="single" w:sz="4" w:space="0" w:color="auto"/>
            </w:tcBorders>
            <w:shd w:val="clear" w:color="auto" w:fill="auto"/>
            <w:vAlign w:val="center"/>
            <w:hideMark/>
          </w:tcPr>
          <w:p w14:paraId="286DC40D"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6%</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1606FBB2"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vinculan 35 organizaciones de productores agrícolas a la estrategia de circuitos cortos con la metodología de mercados campesinos presenciales: _ La UTT 13 realizó su primer mercado campesino en el parqueadero de la ADR en Bogotá - Cundinamarca, con la participación de 30 organizaciones de productores agrícolas participantes. Ventas Directas $16.707.400. _La UTT 7 realizó mercado campesino en el municipio de Pesca- Boyacá, con la participación de 5 Organizaciones productores participantes. Ventas Directas $414.500.</w:t>
            </w:r>
          </w:p>
        </w:tc>
      </w:tr>
      <w:tr w:rsidR="001A1E21" w:rsidRPr="001A1E21" w14:paraId="4D824C45" w14:textId="77777777" w:rsidTr="001A1E21">
        <w:trPr>
          <w:trHeight w:val="1290"/>
        </w:trPr>
        <w:tc>
          <w:tcPr>
            <w:tcW w:w="1282" w:type="pct"/>
            <w:tcBorders>
              <w:top w:val="nil"/>
              <w:left w:val="single" w:sz="4" w:space="0" w:color="auto"/>
              <w:bottom w:val="single" w:sz="4" w:space="0" w:color="auto"/>
              <w:right w:val="single" w:sz="4" w:space="0" w:color="auto"/>
            </w:tcBorders>
            <w:shd w:val="clear" w:color="auto" w:fill="auto"/>
            <w:hideMark/>
          </w:tcPr>
          <w:p w14:paraId="084D6B0C"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lastRenderedPageBreak/>
              <w:t>Productores beneficiados con servicios de apoyo a la comercialización con acuerdos comerciales suscritos</w:t>
            </w:r>
          </w:p>
        </w:tc>
        <w:tc>
          <w:tcPr>
            <w:tcW w:w="482" w:type="pct"/>
            <w:tcBorders>
              <w:top w:val="nil"/>
              <w:left w:val="nil"/>
              <w:bottom w:val="single" w:sz="4" w:space="0" w:color="auto"/>
              <w:right w:val="single" w:sz="4" w:space="0" w:color="auto"/>
            </w:tcBorders>
            <w:shd w:val="clear" w:color="auto" w:fill="auto"/>
            <w:vAlign w:val="center"/>
            <w:hideMark/>
          </w:tcPr>
          <w:p w14:paraId="1D10613C" w14:textId="1D82E87F"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2</w:t>
            </w:r>
            <w:r>
              <w:rPr>
                <w:rFonts w:ascii="Arial" w:eastAsia="Times New Roman" w:hAnsi="Arial" w:cs="Arial"/>
                <w:color w:val="000000"/>
                <w:sz w:val="20"/>
                <w:szCs w:val="20"/>
                <w:lang w:eastAsia="es-CO"/>
              </w:rPr>
              <w:t>.</w:t>
            </w:r>
            <w:r w:rsidRPr="001A1E21">
              <w:rPr>
                <w:rFonts w:ascii="Arial" w:eastAsia="Times New Roman" w:hAnsi="Arial" w:cs="Arial"/>
                <w:color w:val="000000"/>
                <w:sz w:val="20"/>
                <w:szCs w:val="20"/>
                <w:lang w:eastAsia="es-CO"/>
              </w:rPr>
              <w:t>750</w:t>
            </w:r>
          </w:p>
        </w:tc>
        <w:tc>
          <w:tcPr>
            <w:tcW w:w="723" w:type="pct"/>
            <w:tcBorders>
              <w:top w:val="nil"/>
              <w:left w:val="nil"/>
              <w:bottom w:val="single" w:sz="4" w:space="0" w:color="auto"/>
              <w:right w:val="single" w:sz="4" w:space="0" w:color="auto"/>
            </w:tcBorders>
            <w:shd w:val="clear" w:color="auto" w:fill="auto"/>
            <w:vAlign w:val="center"/>
            <w:hideMark/>
          </w:tcPr>
          <w:p w14:paraId="186F0547"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762A3D65"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define estrategia de seguimiento de PIDAR, para consolidar beneficiarios de acuerdos comerciales cumplidos.</w:t>
            </w:r>
          </w:p>
        </w:tc>
      </w:tr>
      <w:tr w:rsidR="001A1E21" w:rsidRPr="001A1E21" w14:paraId="735DB28A" w14:textId="77777777" w:rsidTr="001A1E21">
        <w:trPr>
          <w:trHeight w:val="1425"/>
        </w:trPr>
        <w:tc>
          <w:tcPr>
            <w:tcW w:w="1282" w:type="pct"/>
            <w:tcBorders>
              <w:top w:val="nil"/>
              <w:left w:val="single" w:sz="4" w:space="0" w:color="auto"/>
              <w:bottom w:val="single" w:sz="4" w:space="0" w:color="auto"/>
              <w:right w:val="single" w:sz="4" w:space="0" w:color="auto"/>
            </w:tcBorders>
            <w:shd w:val="clear" w:color="auto" w:fill="auto"/>
            <w:hideMark/>
          </w:tcPr>
          <w:p w14:paraId="1AB4C138" w14:textId="77777777" w:rsidR="001A1E21" w:rsidRPr="001A1E21" w:rsidRDefault="001A1E21" w:rsidP="001A1E21">
            <w:pPr>
              <w:spacing w:line="240" w:lineRule="auto"/>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Productores con transferencia de conocimiento en el uso de información comercial atendidos</w:t>
            </w:r>
          </w:p>
        </w:tc>
        <w:tc>
          <w:tcPr>
            <w:tcW w:w="482" w:type="pct"/>
            <w:tcBorders>
              <w:top w:val="nil"/>
              <w:left w:val="nil"/>
              <w:bottom w:val="single" w:sz="4" w:space="0" w:color="auto"/>
              <w:right w:val="single" w:sz="4" w:space="0" w:color="auto"/>
            </w:tcBorders>
            <w:shd w:val="clear" w:color="auto" w:fill="auto"/>
            <w:vAlign w:val="center"/>
            <w:hideMark/>
          </w:tcPr>
          <w:p w14:paraId="23654621"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390</w:t>
            </w:r>
          </w:p>
        </w:tc>
        <w:tc>
          <w:tcPr>
            <w:tcW w:w="723" w:type="pct"/>
            <w:tcBorders>
              <w:top w:val="nil"/>
              <w:left w:val="nil"/>
              <w:bottom w:val="single" w:sz="4" w:space="0" w:color="auto"/>
              <w:right w:val="single" w:sz="4" w:space="0" w:color="auto"/>
            </w:tcBorders>
            <w:shd w:val="clear" w:color="auto" w:fill="auto"/>
            <w:vAlign w:val="center"/>
            <w:hideMark/>
          </w:tcPr>
          <w:p w14:paraId="7F403015" w14:textId="77777777" w:rsidR="001A1E21" w:rsidRPr="001A1E21" w:rsidRDefault="001A1E21" w:rsidP="001A1E21">
            <w:pPr>
              <w:spacing w:line="240" w:lineRule="auto"/>
              <w:jc w:val="center"/>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0%</w:t>
            </w:r>
          </w:p>
        </w:tc>
        <w:tc>
          <w:tcPr>
            <w:tcW w:w="2514" w:type="pct"/>
            <w:gridSpan w:val="2"/>
            <w:tcBorders>
              <w:top w:val="single" w:sz="4" w:space="0" w:color="auto"/>
              <w:left w:val="nil"/>
              <w:bottom w:val="single" w:sz="4" w:space="0" w:color="auto"/>
              <w:right w:val="single" w:sz="4" w:space="0" w:color="auto"/>
            </w:tcBorders>
            <w:shd w:val="clear" w:color="auto" w:fill="auto"/>
            <w:hideMark/>
          </w:tcPr>
          <w:p w14:paraId="5C819C80" w14:textId="77777777" w:rsidR="001A1E21" w:rsidRPr="001A1E21" w:rsidRDefault="001A1E21" w:rsidP="001A1E21">
            <w:pPr>
              <w:spacing w:line="240" w:lineRule="auto"/>
              <w:jc w:val="both"/>
              <w:rPr>
                <w:rFonts w:ascii="Arial" w:eastAsia="Times New Roman" w:hAnsi="Arial" w:cs="Arial"/>
                <w:color w:val="000000"/>
                <w:sz w:val="20"/>
                <w:szCs w:val="20"/>
                <w:lang w:eastAsia="es-CO"/>
              </w:rPr>
            </w:pPr>
            <w:r w:rsidRPr="001A1E21">
              <w:rPr>
                <w:rFonts w:ascii="Arial" w:eastAsia="Times New Roman" w:hAnsi="Arial" w:cs="Arial"/>
                <w:color w:val="000000"/>
                <w:sz w:val="20"/>
                <w:szCs w:val="20"/>
                <w:lang w:eastAsia="es-CO"/>
              </w:rPr>
              <w:t>Se construye base de datos de organizaciones productoras beneficiarias de La Agencia de Desarrollo Rural con 13 casos éxitos, como estrategia de recopilación de experiencias exitosas y se propone realizar transferencia de las mismas.</w:t>
            </w:r>
          </w:p>
        </w:tc>
      </w:tr>
    </w:tbl>
    <w:p w14:paraId="31894A9F" w14:textId="77777777" w:rsidR="001A1E21" w:rsidRDefault="001A1E21" w:rsidP="00CA4EA1">
      <w:pPr>
        <w:rPr>
          <w:rFonts w:ascii="Arial" w:hAnsi="Arial" w:cs="Arial"/>
          <w:bCs/>
          <w:sz w:val="16"/>
          <w:szCs w:val="16"/>
        </w:rPr>
      </w:pPr>
    </w:p>
    <w:p w14:paraId="29E66D8C" w14:textId="77777777" w:rsidR="00CA4EA1" w:rsidRPr="00CA4EA1" w:rsidRDefault="00CA4EA1" w:rsidP="00CA4EA1">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Enero – marzo 2020.</w:t>
      </w:r>
    </w:p>
    <w:p w14:paraId="45E398E4" w14:textId="77777777" w:rsidR="006B34C6" w:rsidRDefault="006B34C6" w:rsidP="006B34C6">
      <w:pPr>
        <w:autoSpaceDE w:val="0"/>
        <w:autoSpaceDN w:val="0"/>
        <w:adjustRightInd w:val="0"/>
        <w:spacing w:line="240" w:lineRule="auto"/>
        <w:jc w:val="both"/>
        <w:rPr>
          <w:rFonts w:ascii="Arial" w:hAnsi="Arial" w:cs="Arial"/>
          <w:color w:val="000000"/>
          <w:sz w:val="24"/>
          <w:szCs w:val="24"/>
        </w:rPr>
      </w:pPr>
    </w:p>
    <w:p w14:paraId="32B491DB" w14:textId="50131A67" w:rsidR="0039050D" w:rsidRDefault="0039050D" w:rsidP="006B34C6">
      <w:pPr>
        <w:autoSpaceDE w:val="0"/>
        <w:autoSpaceDN w:val="0"/>
        <w:adjustRightInd w:val="0"/>
        <w:spacing w:line="240" w:lineRule="auto"/>
        <w:jc w:val="both"/>
        <w:rPr>
          <w:rFonts w:ascii="Arial" w:hAnsi="Arial" w:cs="Arial"/>
          <w:sz w:val="24"/>
          <w:szCs w:val="24"/>
        </w:rPr>
      </w:pPr>
      <w:r>
        <w:rPr>
          <w:rFonts w:ascii="Arial" w:hAnsi="Arial" w:cs="Arial"/>
          <w:sz w:val="24"/>
          <w:szCs w:val="24"/>
        </w:rPr>
        <w:t>En promedio</w:t>
      </w:r>
      <w:r w:rsidR="00F76931">
        <w:rPr>
          <w:rFonts w:ascii="Arial" w:hAnsi="Arial" w:cs="Arial"/>
          <w:sz w:val="24"/>
          <w:szCs w:val="24"/>
        </w:rPr>
        <w:t>,</w:t>
      </w:r>
      <w:r>
        <w:rPr>
          <w:rFonts w:ascii="Arial" w:hAnsi="Arial" w:cs="Arial"/>
          <w:sz w:val="24"/>
          <w:szCs w:val="24"/>
        </w:rPr>
        <w:t xml:space="preserve"> los 31</w:t>
      </w:r>
      <w:r w:rsidRPr="0039050D">
        <w:rPr>
          <w:rFonts w:ascii="Arial" w:hAnsi="Arial" w:cs="Arial"/>
          <w:sz w:val="24"/>
          <w:szCs w:val="24"/>
        </w:rPr>
        <w:t xml:space="preserve"> indicadores del objetivo estratégico 1, alcanzaron un avance del </w:t>
      </w:r>
      <w:r w:rsidRPr="0039050D">
        <w:rPr>
          <w:rFonts w:ascii="Arial" w:hAnsi="Arial" w:cs="Arial"/>
          <w:bCs/>
          <w:sz w:val="24"/>
          <w:szCs w:val="24"/>
        </w:rPr>
        <w:t>4%</w:t>
      </w:r>
      <w:r w:rsidRPr="0039050D">
        <w:rPr>
          <w:rFonts w:ascii="Arial" w:hAnsi="Arial" w:cs="Arial"/>
          <w:b/>
          <w:bCs/>
          <w:sz w:val="24"/>
          <w:szCs w:val="24"/>
        </w:rPr>
        <w:t xml:space="preserve"> </w:t>
      </w:r>
      <w:r w:rsidRPr="0039050D">
        <w:rPr>
          <w:rFonts w:ascii="Arial" w:hAnsi="Arial" w:cs="Arial"/>
          <w:sz w:val="24"/>
          <w:szCs w:val="24"/>
        </w:rPr>
        <w:t>de cumplimient</w:t>
      </w:r>
      <w:r w:rsidR="00F76931">
        <w:rPr>
          <w:rFonts w:ascii="Arial" w:hAnsi="Arial" w:cs="Arial"/>
          <w:sz w:val="24"/>
          <w:szCs w:val="24"/>
        </w:rPr>
        <w:t>o</w:t>
      </w:r>
      <w:r>
        <w:rPr>
          <w:rFonts w:ascii="Arial" w:hAnsi="Arial" w:cs="Arial"/>
          <w:sz w:val="24"/>
          <w:szCs w:val="24"/>
        </w:rPr>
        <w:t>.</w:t>
      </w:r>
    </w:p>
    <w:p w14:paraId="29DF8DDF" w14:textId="77777777" w:rsidR="004449B4" w:rsidRDefault="004449B4" w:rsidP="006B34C6">
      <w:pPr>
        <w:autoSpaceDE w:val="0"/>
        <w:autoSpaceDN w:val="0"/>
        <w:adjustRightInd w:val="0"/>
        <w:spacing w:line="240" w:lineRule="auto"/>
        <w:jc w:val="both"/>
        <w:rPr>
          <w:rFonts w:ascii="Arial" w:hAnsi="Arial" w:cs="Arial"/>
          <w:sz w:val="24"/>
          <w:szCs w:val="24"/>
        </w:rPr>
      </w:pPr>
    </w:p>
    <w:p w14:paraId="736E9702" w14:textId="7A94D697" w:rsidR="004449B4" w:rsidRDefault="004449B4" w:rsidP="004449B4">
      <w:pPr>
        <w:jc w:val="center"/>
        <w:rPr>
          <w:rFonts w:ascii="Arial" w:eastAsia="Calibri" w:hAnsi="Arial" w:cs="Arial"/>
          <w:b/>
          <w:sz w:val="24"/>
          <w:szCs w:val="24"/>
        </w:rPr>
      </w:pPr>
      <w:r>
        <w:rPr>
          <w:rFonts w:ascii="Arial" w:eastAsia="Calibri" w:hAnsi="Arial" w:cs="Arial"/>
          <w:b/>
          <w:sz w:val="24"/>
          <w:szCs w:val="24"/>
        </w:rPr>
        <w:t xml:space="preserve">Tabla </w:t>
      </w:r>
      <w:r w:rsidR="00077CF4">
        <w:rPr>
          <w:rFonts w:ascii="Arial" w:eastAsia="Calibri" w:hAnsi="Arial" w:cs="Arial"/>
          <w:b/>
          <w:sz w:val="24"/>
          <w:szCs w:val="24"/>
        </w:rPr>
        <w:t>4</w:t>
      </w:r>
      <w:r>
        <w:rPr>
          <w:rFonts w:ascii="Arial" w:eastAsia="Calibri" w:hAnsi="Arial" w:cs="Arial"/>
          <w:b/>
          <w:sz w:val="24"/>
          <w:szCs w:val="24"/>
        </w:rPr>
        <w:t>. Avances indicadores Objetivo Estratégico 2</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3"/>
        <w:gridCol w:w="752"/>
        <w:gridCol w:w="1263"/>
        <w:gridCol w:w="4198"/>
        <w:gridCol w:w="541"/>
      </w:tblGrid>
      <w:tr w:rsidR="00B85579" w:rsidRPr="00B85579" w14:paraId="79223388" w14:textId="77777777" w:rsidTr="00B85579">
        <w:trPr>
          <w:trHeight w:val="825"/>
        </w:trPr>
        <w:tc>
          <w:tcPr>
            <w:tcW w:w="5000" w:type="pct"/>
            <w:gridSpan w:val="5"/>
            <w:shd w:val="clear" w:color="000000" w:fill="70AD47"/>
            <w:hideMark/>
          </w:tcPr>
          <w:p w14:paraId="1536FA04" w14:textId="77777777" w:rsidR="00B85579" w:rsidRPr="00B85579" w:rsidRDefault="00B85579" w:rsidP="00B85579">
            <w:pPr>
              <w:spacing w:line="240" w:lineRule="auto"/>
              <w:rPr>
                <w:rFonts w:ascii="Arial" w:eastAsia="Times New Roman" w:hAnsi="Arial" w:cs="Arial"/>
                <w:b/>
                <w:bCs/>
                <w:color w:val="FFFFFF"/>
                <w:sz w:val="20"/>
                <w:szCs w:val="20"/>
                <w:lang w:eastAsia="es-CO"/>
              </w:rPr>
            </w:pPr>
            <w:r w:rsidRPr="00B85579">
              <w:rPr>
                <w:rFonts w:ascii="Arial" w:eastAsia="Times New Roman" w:hAnsi="Arial" w:cs="Arial"/>
                <w:b/>
                <w:bCs/>
                <w:color w:val="FFFFFF"/>
                <w:sz w:val="20"/>
                <w:szCs w:val="20"/>
                <w:lang w:eastAsia="es-CO"/>
              </w:rPr>
              <w:t>2. Fortalecer la productividad y competitividad de las cadenas de valor y sistemas productivos del sector agropecuario a través del acompañamiento técnico, la coordinación interinstitucional y la implementación del Subsistema Nacional de Extensión Agropecuaria.</w:t>
            </w:r>
          </w:p>
        </w:tc>
      </w:tr>
      <w:tr w:rsidR="00B85579" w:rsidRPr="00B85579" w14:paraId="30DAAF7C" w14:textId="77777777" w:rsidTr="00B85579">
        <w:trPr>
          <w:trHeight w:val="510"/>
        </w:trPr>
        <w:tc>
          <w:tcPr>
            <w:tcW w:w="1201" w:type="pct"/>
            <w:shd w:val="clear" w:color="000000" w:fill="70AD47"/>
            <w:noWrap/>
            <w:vAlign w:val="center"/>
            <w:hideMark/>
          </w:tcPr>
          <w:p w14:paraId="301FDE92" w14:textId="77777777" w:rsidR="00B85579" w:rsidRPr="00B85579" w:rsidRDefault="00B85579" w:rsidP="00B85579">
            <w:pPr>
              <w:spacing w:line="240" w:lineRule="auto"/>
              <w:jc w:val="center"/>
              <w:rPr>
                <w:rFonts w:ascii="Arial" w:eastAsia="Times New Roman" w:hAnsi="Arial" w:cs="Arial"/>
                <w:b/>
                <w:bCs/>
                <w:color w:val="FFFFFF"/>
                <w:sz w:val="20"/>
                <w:szCs w:val="20"/>
                <w:lang w:eastAsia="es-CO"/>
              </w:rPr>
            </w:pPr>
            <w:r w:rsidRPr="00B85579">
              <w:rPr>
                <w:rFonts w:ascii="Arial" w:eastAsia="Times New Roman" w:hAnsi="Arial" w:cs="Arial"/>
                <w:b/>
                <w:bCs/>
                <w:color w:val="FFFFFF"/>
                <w:sz w:val="20"/>
                <w:szCs w:val="20"/>
                <w:lang w:eastAsia="es-CO"/>
              </w:rPr>
              <w:t>Indicador</w:t>
            </w:r>
          </w:p>
        </w:tc>
        <w:tc>
          <w:tcPr>
            <w:tcW w:w="357" w:type="pct"/>
            <w:shd w:val="clear" w:color="000000" w:fill="70AD47"/>
            <w:noWrap/>
            <w:vAlign w:val="center"/>
            <w:hideMark/>
          </w:tcPr>
          <w:p w14:paraId="51AA4BBF" w14:textId="77777777" w:rsidR="00B85579" w:rsidRPr="00B85579" w:rsidRDefault="00B85579" w:rsidP="00B85579">
            <w:pPr>
              <w:spacing w:line="240" w:lineRule="auto"/>
              <w:jc w:val="center"/>
              <w:rPr>
                <w:rFonts w:ascii="Arial" w:eastAsia="Times New Roman" w:hAnsi="Arial" w:cs="Arial"/>
                <w:b/>
                <w:bCs/>
                <w:color w:val="FFFFFF"/>
                <w:sz w:val="20"/>
                <w:szCs w:val="20"/>
                <w:lang w:eastAsia="es-CO"/>
              </w:rPr>
            </w:pPr>
            <w:r w:rsidRPr="00B85579">
              <w:rPr>
                <w:rFonts w:ascii="Arial" w:eastAsia="Times New Roman" w:hAnsi="Arial" w:cs="Arial"/>
                <w:b/>
                <w:bCs/>
                <w:color w:val="FFFFFF"/>
                <w:sz w:val="20"/>
                <w:szCs w:val="20"/>
                <w:lang w:eastAsia="es-CO"/>
              </w:rPr>
              <w:t>Meta</w:t>
            </w:r>
          </w:p>
        </w:tc>
        <w:tc>
          <w:tcPr>
            <w:tcW w:w="717" w:type="pct"/>
            <w:shd w:val="clear" w:color="000000" w:fill="70AD47"/>
            <w:vAlign w:val="center"/>
            <w:hideMark/>
          </w:tcPr>
          <w:p w14:paraId="0D28CDE2" w14:textId="77777777" w:rsidR="00B85579" w:rsidRPr="00B85579" w:rsidRDefault="00B85579" w:rsidP="00B85579">
            <w:pPr>
              <w:spacing w:line="240" w:lineRule="auto"/>
              <w:jc w:val="center"/>
              <w:rPr>
                <w:rFonts w:ascii="Arial" w:eastAsia="Times New Roman" w:hAnsi="Arial" w:cs="Arial"/>
                <w:b/>
                <w:bCs/>
                <w:color w:val="FFFFFF"/>
                <w:sz w:val="20"/>
                <w:szCs w:val="20"/>
                <w:lang w:eastAsia="es-CO"/>
              </w:rPr>
            </w:pPr>
            <w:r w:rsidRPr="00B85579">
              <w:rPr>
                <w:rFonts w:ascii="Arial" w:eastAsia="Times New Roman" w:hAnsi="Arial" w:cs="Arial"/>
                <w:b/>
                <w:bCs/>
                <w:color w:val="FFFFFF"/>
                <w:sz w:val="20"/>
                <w:szCs w:val="20"/>
                <w:lang w:eastAsia="es-CO"/>
              </w:rPr>
              <w:t>%Avance cuantitativo</w:t>
            </w:r>
          </w:p>
        </w:tc>
        <w:tc>
          <w:tcPr>
            <w:tcW w:w="2418" w:type="pct"/>
            <w:shd w:val="clear" w:color="000000" w:fill="70AD47"/>
            <w:noWrap/>
            <w:vAlign w:val="center"/>
            <w:hideMark/>
          </w:tcPr>
          <w:p w14:paraId="716F155D" w14:textId="77777777" w:rsidR="00B85579" w:rsidRPr="00B85579" w:rsidRDefault="00B85579" w:rsidP="00B85579">
            <w:pPr>
              <w:spacing w:line="240" w:lineRule="auto"/>
              <w:jc w:val="center"/>
              <w:rPr>
                <w:rFonts w:ascii="Arial" w:eastAsia="Times New Roman" w:hAnsi="Arial" w:cs="Arial"/>
                <w:b/>
                <w:bCs/>
                <w:color w:val="FFFFFF"/>
                <w:sz w:val="20"/>
                <w:szCs w:val="20"/>
                <w:lang w:eastAsia="es-CO"/>
              </w:rPr>
            </w:pPr>
            <w:r w:rsidRPr="00B85579">
              <w:rPr>
                <w:rFonts w:ascii="Arial" w:eastAsia="Times New Roman" w:hAnsi="Arial" w:cs="Arial"/>
                <w:b/>
                <w:bCs/>
                <w:color w:val="FFFFFF"/>
                <w:sz w:val="20"/>
                <w:szCs w:val="20"/>
                <w:lang w:eastAsia="es-CO"/>
              </w:rPr>
              <w:t>Avance Cualitativo</w:t>
            </w:r>
          </w:p>
        </w:tc>
        <w:tc>
          <w:tcPr>
            <w:tcW w:w="307" w:type="pct"/>
            <w:shd w:val="clear" w:color="000000" w:fill="70AD47"/>
            <w:noWrap/>
            <w:vAlign w:val="center"/>
            <w:hideMark/>
          </w:tcPr>
          <w:p w14:paraId="4D938ED0" w14:textId="77777777" w:rsidR="00B85579" w:rsidRPr="00B85579" w:rsidRDefault="00B85579" w:rsidP="00B85579">
            <w:pPr>
              <w:spacing w:line="240" w:lineRule="auto"/>
              <w:jc w:val="center"/>
              <w:rPr>
                <w:rFonts w:ascii="Arial" w:eastAsia="Times New Roman" w:hAnsi="Arial" w:cs="Arial"/>
                <w:b/>
                <w:bCs/>
                <w:color w:val="FFFFFF"/>
                <w:sz w:val="20"/>
                <w:szCs w:val="20"/>
                <w:lang w:eastAsia="es-CO"/>
              </w:rPr>
            </w:pPr>
            <w:r w:rsidRPr="00B85579">
              <w:rPr>
                <w:rFonts w:ascii="Arial" w:eastAsia="Times New Roman" w:hAnsi="Arial" w:cs="Arial"/>
                <w:b/>
                <w:bCs/>
                <w:color w:val="FFFFFF"/>
                <w:sz w:val="20"/>
                <w:szCs w:val="20"/>
                <w:lang w:eastAsia="es-CO"/>
              </w:rPr>
              <w:t>25%</w:t>
            </w:r>
          </w:p>
        </w:tc>
      </w:tr>
      <w:tr w:rsidR="00B85579" w:rsidRPr="00B85579" w14:paraId="33ED825D" w14:textId="77777777" w:rsidTr="00B85579">
        <w:trPr>
          <w:trHeight w:val="510"/>
        </w:trPr>
        <w:tc>
          <w:tcPr>
            <w:tcW w:w="1201" w:type="pct"/>
            <w:shd w:val="clear" w:color="auto" w:fill="auto"/>
            <w:hideMark/>
          </w:tcPr>
          <w:p w14:paraId="508AED6E" w14:textId="77777777" w:rsidR="00B85579" w:rsidRPr="00B85579" w:rsidRDefault="00B85579" w:rsidP="00B85579">
            <w:pPr>
              <w:spacing w:line="240" w:lineRule="auto"/>
              <w:rPr>
                <w:rFonts w:ascii="Arial" w:eastAsia="Times New Roman" w:hAnsi="Arial" w:cs="Arial"/>
                <w:sz w:val="20"/>
                <w:szCs w:val="20"/>
                <w:lang w:eastAsia="es-CO"/>
              </w:rPr>
            </w:pPr>
            <w:r w:rsidRPr="00B85579">
              <w:rPr>
                <w:rFonts w:ascii="Arial" w:eastAsia="Times New Roman" w:hAnsi="Arial" w:cs="Arial"/>
                <w:sz w:val="20"/>
                <w:szCs w:val="20"/>
                <w:lang w:eastAsia="es-CO"/>
              </w:rPr>
              <w:t>Capacitaciones realizadas en Extensión Agropecuaria</w:t>
            </w:r>
          </w:p>
        </w:tc>
        <w:tc>
          <w:tcPr>
            <w:tcW w:w="357" w:type="pct"/>
            <w:shd w:val="clear" w:color="auto" w:fill="auto"/>
            <w:vAlign w:val="center"/>
            <w:hideMark/>
          </w:tcPr>
          <w:p w14:paraId="7CC37670"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33</w:t>
            </w:r>
          </w:p>
        </w:tc>
        <w:tc>
          <w:tcPr>
            <w:tcW w:w="717" w:type="pct"/>
            <w:shd w:val="clear" w:color="auto" w:fill="auto"/>
            <w:vAlign w:val="center"/>
            <w:hideMark/>
          </w:tcPr>
          <w:p w14:paraId="71A3B2F3"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  0 %</w:t>
            </w:r>
          </w:p>
        </w:tc>
        <w:tc>
          <w:tcPr>
            <w:tcW w:w="2725" w:type="pct"/>
            <w:gridSpan w:val="2"/>
            <w:shd w:val="clear" w:color="auto" w:fill="auto"/>
            <w:vAlign w:val="center"/>
            <w:hideMark/>
          </w:tcPr>
          <w:p w14:paraId="301515AE" w14:textId="77777777" w:rsidR="00B85579" w:rsidRPr="00B85579" w:rsidRDefault="00B85579" w:rsidP="00B85579">
            <w:pPr>
              <w:spacing w:line="240" w:lineRule="auto"/>
              <w:jc w:val="both"/>
              <w:rPr>
                <w:rFonts w:ascii="Arial" w:eastAsia="Times New Roman" w:hAnsi="Arial" w:cs="Arial"/>
                <w:sz w:val="20"/>
                <w:szCs w:val="20"/>
                <w:lang w:eastAsia="es-CO"/>
              </w:rPr>
            </w:pPr>
            <w:r w:rsidRPr="00B85579">
              <w:rPr>
                <w:rFonts w:ascii="Arial" w:eastAsia="Times New Roman" w:hAnsi="Arial" w:cs="Arial"/>
                <w:sz w:val="20"/>
                <w:szCs w:val="20"/>
                <w:lang w:eastAsia="es-CO"/>
              </w:rPr>
              <w:t>Se da continuidad al proceso de implementación con la UNAD en los 32 departamentos y el Distrito Capital. De igual forma se inicia el proceso con el SENA para abrir los cursos complementarios.</w:t>
            </w:r>
          </w:p>
        </w:tc>
      </w:tr>
      <w:tr w:rsidR="00B85579" w:rsidRPr="00B85579" w14:paraId="201F3DA3" w14:textId="77777777" w:rsidTr="00B85579">
        <w:trPr>
          <w:trHeight w:val="1260"/>
        </w:trPr>
        <w:tc>
          <w:tcPr>
            <w:tcW w:w="1201" w:type="pct"/>
            <w:shd w:val="clear" w:color="auto" w:fill="auto"/>
            <w:hideMark/>
          </w:tcPr>
          <w:p w14:paraId="39AEEE92" w14:textId="77777777" w:rsidR="00B85579" w:rsidRPr="00B85579" w:rsidRDefault="00B85579" w:rsidP="00B85579">
            <w:pPr>
              <w:spacing w:line="240" w:lineRule="auto"/>
              <w:rPr>
                <w:rFonts w:ascii="Arial" w:eastAsia="Times New Roman" w:hAnsi="Arial" w:cs="Arial"/>
                <w:sz w:val="20"/>
                <w:szCs w:val="20"/>
                <w:lang w:eastAsia="es-CO"/>
              </w:rPr>
            </w:pPr>
            <w:r w:rsidRPr="00B85579">
              <w:rPr>
                <w:rFonts w:ascii="Arial" w:eastAsia="Times New Roman" w:hAnsi="Arial" w:cs="Arial"/>
                <w:sz w:val="20"/>
                <w:szCs w:val="20"/>
                <w:lang w:eastAsia="es-CO"/>
              </w:rPr>
              <w:t>Entidades Prestadoras del Servicio Público de Extensión Agropecuaria Habilitadas</w:t>
            </w:r>
          </w:p>
        </w:tc>
        <w:tc>
          <w:tcPr>
            <w:tcW w:w="357" w:type="pct"/>
            <w:shd w:val="clear" w:color="auto" w:fill="auto"/>
            <w:vAlign w:val="center"/>
            <w:hideMark/>
          </w:tcPr>
          <w:p w14:paraId="07032724"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60</w:t>
            </w:r>
          </w:p>
        </w:tc>
        <w:tc>
          <w:tcPr>
            <w:tcW w:w="717" w:type="pct"/>
            <w:shd w:val="clear" w:color="auto" w:fill="auto"/>
            <w:vAlign w:val="center"/>
            <w:hideMark/>
          </w:tcPr>
          <w:p w14:paraId="1F014A3A"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  0 %</w:t>
            </w:r>
          </w:p>
        </w:tc>
        <w:tc>
          <w:tcPr>
            <w:tcW w:w="2725" w:type="pct"/>
            <w:gridSpan w:val="2"/>
            <w:shd w:val="clear" w:color="auto" w:fill="auto"/>
            <w:vAlign w:val="center"/>
            <w:hideMark/>
          </w:tcPr>
          <w:p w14:paraId="0F8944C0" w14:textId="77777777" w:rsidR="00B85579" w:rsidRPr="00B85579" w:rsidRDefault="00B85579" w:rsidP="00B85579">
            <w:pPr>
              <w:spacing w:line="240" w:lineRule="auto"/>
              <w:jc w:val="both"/>
              <w:rPr>
                <w:rFonts w:ascii="Arial" w:eastAsia="Times New Roman" w:hAnsi="Arial" w:cs="Arial"/>
                <w:sz w:val="20"/>
                <w:szCs w:val="20"/>
                <w:lang w:eastAsia="es-CO"/>
              </w:rPr>
            </w:pPr>
            <w:r w:rsidRPr="00B85579">
              <w:rPr>
                <w:rFonts w:ascii="Arial" w:eastAsia="Times New Roman" w:hAnsi="Arial" w:cs="Arial"/>
                <w:sz w:val="20"/>
                <w:szCs w:val="20"/>
                <w:lang w:eastAsia="es-CO"/>
              </w:rPr>
              <w:t>A la fecha se cuenta con cincuenta (50) solicitudes, de las cuales cuarenta y cinco (45) se encuentran en proceso de revisión, validación y/o subsanación, cuatro (4) en evaluación y una (1) solicitud archivada, teniendo en cuenta que la entidad no realizó las subsanaciones contemplada dentro de los tiempos establecidos en la resolución 422 de 2019.</w:t>
            </w:r>
          </w:p>
        </w:tc>
      </w:tr>
      <w:tr w:rsidR="00B85579" w:rsidRPr="00B85579" w14:paraId="6656A835" w14:textId="77777777" w:rsidTr="001A1E21">
        <w:trPr>
          <w:trHeight w:val="715"/>
        </w:trPr>
        <w:tc>
          <w:tcPr>
            <w:tcW w:w="1201" w:type="pct"/>
            <w:shd w:val="clear" w:color="auto" w:fill="auto"/>
            <w:hideMark/>
          </w:tcPr>
          <w:p w14:paraId="698C5F6B" w14:textId="77777777" w:rsidR="00B85579" w:rsidRPr="00B85579" w:rsidRDefault="00B85579" w:rsidP="00B85579">
            <w:pPr>
              <w:spacing w:line="240" w:lineRule="auto"/>
              <w:rPr>
                <w:rFonts w:ascii="Arial" w:eastAsia="Times New Roman" w:hAnsi="Arial" w:cs="Arial"/>
                <w:sz w:val="20"/>
                <w:szCs w:val="20"/>
                <w:lang w:eastAsia="es-CO"/>
              </w:rPr>
            </w:pPr>
            <w:r w:rsidRPr="00B85579">
              <w:rPr>
                <w:rFonts w:ascii="Arial" w:eastAsia="Times New Roman" w:hAnsi="Arial" w:cs="Arial"/>
                <w:sz w:val="20"/>
                <w:szCs w:val="20"/>
                <w:lang w:eastAsia="es-CO"/>
              </w:rPr>
              <w:t>Productores atendidos con Servicio Público de Extensión Agropecuaria</w:t>
            </w:r>
          </w:p>
        </w:tc>
        <w:tc>
          <w:tcPr>
            <w:tcW w:w="357" w:type="pct"/>
            <w:shd w:val="clear" w:color="auto" w:fill="auto"/>
            <w:vAlign w:val="center"/>
            <w:hideMark/>
          </w:tcPr>
          <w:p w14:paraId="49357778"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19.417</w:t>
            </w:r>
          </w:p>
        </w:tc>
        <w:tc>
          <w:tcPr>
            <w:tcW w:w="717" w:type="pct"/>
            <w:shd w:val="clear" w:color="auto" w:fill="auto"/>
            <w:vAlign w:val="center"/>
            <w:hideMark/>
          </w:tcPr>
          <w:p w14:paraId="23350A24"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  0 %</w:t>
            </w:r>
          </w:p>
        </w:tc>
        <w:tc>
          <w:tcPr>
            <w:tcW w:w="2725" w:type="pct"/>
            <w:gridSpan w:val="2"/>
            <w:shd w:val="clear" w:color="auto" w:fill="auto"/>
            <w:vAlign w:val="center"/>
            <w:hideMark/>
          </w:tcPr>
          <w:p w14:paraId="44D2CEDC" w14:textId="77777777" w:rsidR="00B85579" w:rsidRPr="00B85579" w:rsidRDefault="00B85579" w:rsidP="00B85579">
            <w:pPr>
              <w:spacing w:line="240" w:lineRule="auto"/>
              <w:jc w:val="both"/>
              <w:rPr>
                <w:rFonts w:ascii="Arial" w:eastAsia="Times New Roman" w:hAnsi="Arial" w:cs="Arial"/>
                <w:sz w:val="20"/>
                <w:szCs w:val="20"/>
                <w:lang w:eastAsia="es-CO"/>
              </w:rPr>
            </w:pPr>
            <w:r w:rsidRPr="00B85579">
              <w:rPr>
                <w:rFonts w:ascii="Arial" w:eastAsia="Times New Roman" w:hAnsi="Arial" w:cs="Arial"/>
                <w:sz w:val="20"/>
                <w:szCs w:val="20"/>
                <w:lang w:eastAsia="es-CO"/>
              </w:rPr>
              <w:t>Se ha dado continuidad al acompañamiento y apoyo a los 5 departamentos (Bolívar, Casanare, Guainía, Magdalena y Nariño) en los que se está Prestando el Servicio Público de Extensión Agropecuaria, dado a esto, actualmente se encuentra en revisión los documentos que soportan la solicitud del segundo pago de los departamentos de Magdalena y Guainía.</w:t>
            </w:r>
          </w:p>
        </w:tc>
      </w:tr>
      <w:tr w:rsidR="00B85579" w:rsidRPr="00B85579" w14:paraId="7AB809F8" w14:textId="77777777" w:rsidTr="00B85579">
        <w:trPr>
          <w:trHeight w:val="1530"/>
        </w:trPr>
        <w:tc>
          <w:tcPr>
            <w:tcW w:w="1201" w:type="pct"/>
            <w:shd w:val="clear" w:color="auto" w:fill="auto"/>
            <w:hideMark/>
          </w:tcPr>
          <w:p w14:paraId="257FF4BD" w14:textId="77777777" w:rsidR="00B85579" w:rsidRPr="00B85579" w:rsidRDefault="00B85579" w:rsidP="00B85579">
            <w:pPr>
              <w:spacing w:line="240" w:lineRule="auto"/>
              <w:rPr>
                <w:rFonts w:ascii="Arial" w:eastAsia="Times New Roman" w:hAnsi="Arial" w:cs="Arial"/>
                <w:sz w:val="20"/>
                <w:szCs w:val="20"/>
                <w:lang w:eastAsia="es-CO"/>
              </w:rPr>
            </w:pPr>
            <w:r w:rsidRPr="00B85579">
              <w:rPr>
                <w:rFonts w:ascii="Arial" w:eastAsia="Times New Roman" w:hAnsi="Arial" w:cs="Arial"/>
                <w:sz w:val="20"/>
                <w:szCs w:val="20"/>
                <w:lang w:eastAsia="es-CO"/>
              </w:rPr>
              <w:lastRenderedPageBreak/>
              <w:t>Secretarias de Agricultura Departamental acompañadas en la formulación del Plan Departamental de Extensión Agropecuaria-PDEA</w:t>
            </w:r>
          </w:p>
        </w:tc>
        <w:tc>
          <w:tcPr>
            <w:tcW w:w="357" w:type="pct"/>
            <w:shd w:val="clear" w:color="auto" w:fill="auto"/>
            <w:vAlign w:val="center"/>
            <w:hideMark/>
          </w:tcPr>
          <w:p w14:paraId="38DCB753"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32</w:t>
            </w:r>
          </w:p>
        </w:tc>
        <w:tc>
          <w:tcPr>
            <w:tcW w:w="717" w:type="pct"/>
            <w:shd w:val="clear" w:color="auto" w:fill="auto"/>
            <w:vAlign w:val="center"/>
            <w:hideMark/>
          </w:tcPr>
          <w:p w14:paraId="0671BBA1" w14:textId="77777777" w:rsidR="00B85579" w:rsidRPr="00B85579" w:rsidRDefault="00B85579" w:rsidP="00B85579">
            <w:pPr>
              <w:spacing w:line="240" w:lineRule="auto"/>
              <w:jc w:val="center"/>
              <w:rPr>
                <w:rFonts w:ascii="Arial" w:eastAsia="Times New Roman" w:hAnsi="Arial" w:cs="Arial"/>
                <w:sz w:val="20"/>
                <w:szCs w:val="20"/>
                <w:lang w:eastAsia="es-CO"/>
              </w:rPr>
            </w:pPr>
            <w:r w:rsidRPr="00B85579">
              <w:rPr>
                <w:rFonts w:ascii="Arial" w:eastAsia="Times New Roman" w:hAnsi="Arial" w:cs="Arial"/>
                <w:sz w:val="20"/>
                <w:szCs w:val="20"/>
                <w:lang w:eastAsia="es-CO"/>
              </w:rPr>
              <w:t>100%</w:t>
            </w:r>
          </w:p>
        </w:tc>
        <w:tc>
          <w:tcPr>
            <w:tcW w:w="2725" w:type="pct"/>
            <w:gridSpan w:val="2"/>
            <w:shd w:val="clear" w:color="auto" w:fill="auto"/>
            <w:vAlign w:val="center"/>
            <w:hideMark/>
          </w:tcPr>
          <w:p w14:paraId="5437C61C" w14:textId="77777777" w:rsidR="00B85579" w:rsidRPr="00B85579" w:rsidRDefault="00B85579" w:rsidP="00B85579">
            <w:pPr>
              <w:spacing w:line="240" w:lineRule="auto"/>
              <w:jc w:val="both"/>
              <w:rPr>
                <w:rFonts w:ascii="Arial" w:eastAsia="Times New Roman" w:hAnsi="Arial" w:cs="Arial"/>
                <w:sz w:val="20"/>
                <w:szCs w:val="20"/>
                <w:lang w:eastAsia="es-CO"/>
              </w:rPr>
            </w:pPr>
            <w:r w:rsidRPr="00B85579">
              <w:rPr>
                <w:rFonts w:ascii="Arial" w:eastAsia="Times New Roman" w:hAnsi="Arial" w:cs="Arial"/>
                <w:sz w:val="20"/>
                <w:szCs w:val="20"/>
                <w:lang w:eastAsia="es-CO"/>
              </w:rPr>
              <w:t>La Dirección de Asistencia Técnica acompaña técnicamente a los 32 Departamentos en la formulación de los Planes de Extensión Agropecuaria. En el CONSA, en la primera semana de febrero, se articuló el nivel nacional: los Secretarios de Agricultura Departamentales y los Directores de las UTT; lo que permitió poner en contexto frente a las responsabilidades en el acompañamiento a la formulación de los PDEA.</w:t>
            </w:r>
          </w:p>
        </w:tc>
      </w:tr>
    </w:tbl>
    <w:p w14:paraId="16E1F295" w14:textId="244BF17E" w:rsidR="00AB16EC" w:rsidRPr="00CA4EA1" w:rsidRDefault="00CA4EA1" w:rsidP="00CA4EA1">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Enero – marzo 2020.</w:t>
      </w:r>
    </w:p>
    <w:p w14:paraId="00526162" w14:textId="77777777" w:rsidR="004449B4" w:rsidRDefault="004449B4" w:rsidP="006B34C6">
      <w:pPr>
        <w:autoSpaceDE w:val="0"/>
        <w:autoSpaceDN w:val="0"/>
        <w:adjustRightInd w:val="0"/>
        <w:spacing w:line="240" w:lineRule="auto"/>
        <w:jc w:val="both"/>
        <w:rPr>
          <w:rFonts w:ascii="Arial" w:hAnsi="Arial" w:cs="Arial"/>
          <w:color w:val="000000"/>
          <w:sz w:val="24"/>
          <w:szCs w:val="24"/>
        </w:rPr>
      </w:pPr>
    </w:p>
    <w:p w14:paraId="24B56BEB" w14:textId="7DDE7FD1" w:rsidR="00F76931" w:rsidRDefault="00F76931" w:rsidP="00F76931">
      <w:pPr>
        <w:autoSpaceDE w:val="0"/>
        <w:autoSpaceDN w:val="0"/>
        <w:adjustRightInd w:val="0"/>
        <w:spacing w:line="240" w:lineRule="auto"/>
        <w:jc w:val="both"/>
        <w:rPr>
          <w:rFonts w:ascii="Arial" w:hAnsi="Arial" w:cs="Arial"/>
          <w:sz w:val="24"/>
          <w:szCs w:val="24"/>
        </w:rPr>
      </w:pPr>
      <w:r>
        <w:rPr>
          <w:rFonts w:ascii="Arial" w:hAnsi="Arial" w:cs="Arial"/>
          <w:sz w:val="24"/>
          <w:szCs w:val="24"/>
        </w:rPr>
        <w:t>El objetivo 2 registró un avance  promedio del 25%</w:t>
      </w:r>
      <w:r w:rsidR="00437CF7">
        <w:rPr>
          <w:rFonts w:ascii="Arial" w:hAnsi="Arial" w:cs="Arial"/>
          <w:sz w:val="24"/>
          <w:szCs w:val="24"/>
        </w:rPr>
        <w:t>, para sus cuatro indicadores.</w:t>
      </w:r>
    </w:p>
    <w:p w14:paraId="3A266D6B" w14:textId="77777777" w:rsidR="006D46B1" w:rsidRDefault="006D46B1" w:rsidP="006B34C6">
      <w:pPr>
        <w:autoSpaceDE w:val="0"/>
        <w:autoSpaceDN w:val="0"/>
        <w:adjustRightInd w:val="0"/>
        <w:spacing w:line="240" w:lineRule="auto"/>
        <w:jc w:val="both"/>
        <w:rPr>
          <w:rFonts w:ascii="Arial" w:hAnsi="Arial" w:cs="Arial"/>
          <w:color w:val="000000"/>
          <w:sz w:val="24"/>
          <w:szCs w:val="24"/>
        </w:rPr>
      </w:pPr>
    </w:p>
    <w:p w14:paraId="6F407EDB" w14:textId="184F815C" w:rsidR="006D46B1" w:rsidRDefault="006D46B1" w:rsidP="006D46B1">
      <w:pPr>
        <w:autoSpaceDE w:val="0"/>
        <w:autoSpaceDN w:val="0"/>
        <w:adjustRightInd w:val="0"/>
        <w:spacing w:line="240" w:lineRule="auto"/>
        <w:rPr>
          <w:rFonts w:ascii="Arial" w:hAnsi="Arial" w:cs="Arial"/>
          <w:color w:val="70AD47" w:themeColor="accent6"/>
          <w:sz w:val="24"/>
          <w:szCs w:val="24"/>
        </w:rPr>
      </w:pPr>
      <w:r w:rsidRPr="006D46B1">
        <w:rPr>
          <w:rFonts w:ascii="Arial" w:hAnsi="Arial" w:cs="Arial"/>
          <w:color w:val="70AD47" w:themeColor="accent6"/>
          <w:sz w:val="24"/>
          <w:szCs w:val="24"/>
        </w:rPr>
        <w:t>Línea Estratégica 2: Optimización del servicio público de adecuación de tierras</w:t>
      </w:r>
    </w:p>
    <w:p w14:paraId="7A61E1BF" w14:textId="77777777" w:rsidR="008372FC" w:rsidRDefault="008372FC" w:rsidP="006D46B1">
      <w:pPr>
        <w:autoSpaceDE w:val="0"/>
        <w:autoSpaceDN w:val="0"/>
        <w:adjustRightInd w:val="0"/>
        <w:spacing w:line="240" w:lineRule="auto"/>
        <w:rPr>
          <w:rFonts w:ascii="Arial" w:hAnsi="Arial" w:cs="Arial"/>
          <w:color w:val="70AD47" w:themeColor="accent6"/>
          <w:sz w:val="24"/>
          <w:szCs w:val="24"/>
        </w:rPr>
      </w:pPr>
    </w:p>
    <w:p w14:paraId="181E61B0" w14:textId="002AC511" w:rsidR="008372FC" w:rsidRDefault="008372FC" w:rsidP="008372FC">
      <w:pPr>
        <w:autoSpaceDE w:val="0"/>
        <w:autoSpaceDN w:val="0"/>
        <w:adjustRightInd w:val="0"/>
        <w:spacing w:line="240" w:lineRule="auto"/>
        <w:jc w:val="both"/>
      </w:pPr>
      <w:r w:rsidRPr="008372FC">
        <w:rPr>
          <w:rFonts w:ascii="Arial" w:hAnsi="Arial" w:cs="Arial"/>
          <w:sz w:val="24"/>
          <w:szCs w:val="24"/>
        </w:rPr>
        <w:t xml:space="preserve">Esta Línea Estratégica reporta un avance del </w:t>
      </w:r>
      <w:r w:rsidR="007C3525">
        <w:rPr>
          <w:rFonts w:ascii="Arial" w:hAnsi="Arial" w:cs="Arial"/>
          <w:bCs/>
          <w:sz w:val="24"/>
          <w:szCs w:val="24"/>
        </w:rPr>
        <w:t>17</w:t>
      </w:r>
      <w:r w:rsidRPr="007C3525">
        <w:rPr>
          <w:rFonts w:ascii="Arial" w:hAnsi="Arial" w:cs="Arial"/>
          <w:bCs/>
          <w:sz w:val="24"/>
          <w:szCs w:val="24"/>
        </w:rPr>
        <w:t>%</w:t>
      </w:r>
      <w:r w:rsidRPr="008372FC">
        <w:rPr>
          <w:rFonts w:ascii="Arial" w:hAnsi="Arial" w:cs="Arial"/>
          <w:b/>
          <w:bCs/>
          <w:sz w:val="24"/>
          <w:szCs w:val="24"/>
        </w:rPr>
        <w:t xml:space="preserve"> </w:t>
      </w:r>
      <w:r w:rsidRPr="008372FC">
        <w:rPr>
          <w:rFonts w:ascii="Arial" w:hAnsi="Arial" w:cs="Arial"/>
          <w:sz w:val="24"/>
          <w:szCs w:val="24"/>
        </w:rPr>
        <w:t>en su objetivo estratégico 3 “Aumentar la cobertura y calidad en la provisión del servicio público de adecuación de tierras”, lo anterior considerando que hay indicadores que tienen un comportamiento constante (a menos que se deje de realizar la actividad) y otros que dependen de procesos contractuales, que por el monto y las especificidad técnica, se demora la adjudicaci</w:t>
      </w:r>
      <w:r w:rsidR="007C3525">
        <w:rPr>
          <w:rFonts w:ascii="Arial" w:hAnsi="Arial" w:cs="Arial"/>
          <w:sz w:val="24"/>
          <w:szCs w:val="24"/>
        </w:rPr>
        <w:t xml:space="preserve">ón de los mismos, en la Tabla </w:t>
      </w:r>
      <w:r w:rsidRPr="008372FC">
        <w:rPr>
          <w:rFonts w:ascii="Arial" w:hAnsi="Arial" w:cs="Arial"/>
          <w:sz w:val="24"/>
          <w:szCs w:val="24"/>
        </w:rPr>
        <w:t>5, se presentan los avances del I trimestre</w:t>
      </w:r>
      <w:r>
        <w:t>:</w:t>
      </w:r>
    </w:p>
    <w:p w14:paraId="6DC02EBC" w14:textId="7829CC21" w:rsidR="00C00B37" w:rsidRDefault="000202EB" w:rsidP="000202EB">
      <w:pPr>
        <w:jc w:val="center"/>
      </w:pPr>
      <w:r>
        <w:rPr>
          <w:rFonts w:ascii="Arial" w:eastAsia="Calibri" w:hAnsi="Arial" w:cs="Arial"/>
          <w:b/>
          <w:sz w:val="24"/>
          <w:szCs w:val="24"/>
        </w:rPr>
        <w:t>Tabla 5. Avances indicadores Objetivo Estratégico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1"/>
        <w:gridCol w:w="710"/>
        <w:gridCol w:w="1275"/>
        <w:gridCol w:w="3325"/>
        <w:gridCol w:w="547"/>
      </w:tblGrid>
      <w:tr w:rsidR="00962B1E" w:rsidRPr="00962B1E" w14:paraId="5F5D2926" w14:textId="77777777" w:rsidTr="001A1E21">
        <w:trPr>
          <w:trHeight w:val="300"/>
          <w:tblHeader/>
        </w:trPr>
        <w:tc>
          <w:tcPr>
            <w:tcW w:w="5000" w:type="pct"/>
            <w:gridSpan w:val="5"/>
            <w:shd w:val="clear" w:color="000000" w:fill="70AD47"/>
            <w:hideMark/>
          </w:tcPr>
          <w:p w14:paraId="493DB532" w14:textId="77777777" w:rsidR="00962B1E" w:rsidRPr="00962B1E" w:rsidRDefault="00962B1E" w:rsidP="00962B1E">
            <w:pPr>
              <w:spacing w:line="240" w:lineRule="auto"/>
              <w:rPr>
                <w:rFonts w:ascii="Arial" w:eastAsia="Times New Roman" w:hAnsi="Arial" w:cs="Arial"/>
                <w:b/>
                <w:bCs/>
                <w:color w:val="FFFFFF"/>
                <w:sz w:val="20"/>
                <w:szCs w:val="20"/>
                <w:lang w:eastAsia="es-CO"/>
              </w:rPr>
            </w:pPr>
            <w:r w:rsidRPr="00962B1E">
              <w:rPr>
                <w:rFonts w:ascii="Arial" w:eastAsia="Times New Roman" w:hAnsi="Arial" w:cs="Arial"/>
                <w:b/>
                <w:bCs/>
                <w:color w:val="FFFFFF"/>
                <w:sz w:val="20"/>
                <w:szCs w:val="20"/>
                <w:lang w:eastAsia="es-CO"/>
              </w:rPr>
              <w:t>3: Aumentar la cobertura y calidad en la provisión del servicio público de adecuación de tierras.</w:t>
            </w:r>
          </w:p>
        </w:tc>
      </w:tr>
      <w:tr w:rsidR="00962B1E" w:rsidRPr="00962B1E" w14:paraId="06780004" w14:textId="77777777" w:rsidTr="008E0E70">
        <w:trPr>
          <w:trHeight w:val="765"/>
          <w:tblHeader/>
        </w:trPr>
        <w:tc>
          <w:tcPr>
            <w:tcW w:w="1683" w:type="pct"/>
            <w:shd w:val="clear" w:color="000000" w:fill="70AD47"/>
            <w:noWrap/>
            <w:vAlign w:val="center"/>
            <w:hideMark/>
          </w:tcPr>
          <w:p w14:paraId="14008135" w14:textId="77777777" w:rsidR="00962B1E" w:rsidRPr="00962B1E" w:rsidRDefault="00962B1E" w:rsidP="00962B1E">
            <w:pPr>
              <w:spacing w:line="240" w:lineRule="auto"/>
              <w:jc w:val="center"/>
              <w:rPr>
                <w:rFonts w:ascii="Arial" w:eastAsia="Times New Roman" w:hAnsi="Arial" w:cs="Arial"/>
                <w:b/>
                <w:bCs/>
                <w:color w:val="FFFFFF"/>
                <w:sz w:val="20"/>
                <w:szCs w:val="20"/>
                <w:lang w:eastAsia="es-CO"/>
              </w:rPr>
            </w:pPr>
            <w:r w:rsidRPr="00962B1E">
              <w:rPr>
                <w:rFonts w:ascii="Arial" w:eastAsia="Times New Roman" w:hAnsi="Arial" w:cs="Arial"/>
                <w:b/>
                <w:bCs/>
                <w:color w:val="FFFFFF"/>
                <w:sz w:val="20"/>
                <w:szCs w:val="20"/>
                <w:lang w:eastAsia="es-CO"/>
              </w:rPr>
              <w:t>Indicador</w:t>
            </w:r>
          </w:p>
        </w:tc>
        <w:tc>
          <w:tcPr>
            <w:tcW w:w="402" w:type="pct"/>
            <w:shd w:val="clear" w:color="000000" w:fill="70AD47"/>
            <w:noWrap/>
            <w:vAlign w:val="center"/>
            <w:hideMark/>
          </w:tcPr>
          <w:p w14:paraId="72697F08" w14:textId="77777777" w:rsidR="00962B1E" w:rsidRPr="00962B1E" w:rsidRDefault="00962B1E" w:rsidP="00962B1E">
            <w:pPr>
              <w:spacing w:line="240" w:lineRule="auto"/>
              <w:jc w:val="center"/>
              <w:rPr>
                <w:rFonts w:ascii="Arial" w:eastAsia="Times New Roman" w:hAnsi="Arial" w:cs="Arial"/>
                <w:b/>
                <w:bCs/>
                <w:color w:val="FFFFFF"/>
                <w:sz w:val="20"/>
                <w:szCs w:val="20"/>
                <w:lang w:eastAsia="es-CO"/>
              </w:rPr>
            </w:pPr>
            <w:r w:rsidRPr="00962B1E">
              <w:rPr>
                <w:rFonts w:ascii="Arial" w:eastAsia="Times New Roman" w:hAnsi="Arial" w:cs="Arial"/>
                <w:b/>
                <w:bCs/>
                <w:color w:val="FFFFFF"/>
                <w:sz w:val="20"/>
                <w:szCs w:val="20"/>
                <w:lang w:eastAsia="es-CO"/>
              </w:rPr>
              <w:t>Meta</w:t>
            </w:r>
          </w:p>
        </w:tc>
        <w:tc>
          <w:tcPr>
            <w:tcW w:w="722" w:type="pct"/>
            <w:shd w:val="clear" w:color="000000" w:fill="70AD47"/>
            <w:vAlign w:val="center"/>
            <w:hideMark/>
          </w:tcPr>
          <w:p w14:paraId="543B3943" w14:textId="77777777" w:rsidR="00962B1E" w:rsidRPr="00962B1E" w:rsidRDefault="00962B1E" w:rsidP="00962B1E">
            <w:pPr>
              <w:spacing w:line="240" w:lineRule="auto"/>
              <w:jc w:val="center"/>
              <w:rPr>
                <w:rFonts w:ascii="Arial" w:eastAsia="Times New Roman" w:hAnsi="Arial" w:cs="Arial"/>
                <w:b/>
                <w:bCs/>
                <w:color w:val="FFFFFF"/>
                <w:sz w:val="20"/>
                <w:szCs w:val="20"/>
                <w:lang w:eastAsia="es-CO"/>
              </w:rPr>
            </w:pPr>
            <w:r w:rsidRPr="00962B1E">
              <w:rPr>
                <w:rFonts w:ascii="Arial" w:eastAsia="Times New Roman" w:hAnsi="Arial" w:cs="Arial"/>
                <w:b/>
                <w:bCs/>
                <w:color w:val="FFFFFF"/>
                <w:sz w:val="20"/>
                <w:szCs w:val="20"/>
                <w:lang w:eastAsia="es-CO"/>
              </w:rPr>
              <w:t>%Avance cuantitativo</w:t>
            </w:r>
          </w:p>
        </w:tc>
        <w:tc>
          <w:tcPr>
            <w:tcW w:w="1883" w:type="pct"/>
            <w:shd w:val="clear" w:color="000000" w:fill="70AD47"/>
            <w:vAlign w:val="center"/>
            <w:hideMark/>
          </w:tcPr>
          <w:p w14:paraId="7F1093C8" w14:textId="77777777" w:rsidR="00962B1E" w:rsidRPr="00962B1E" w:rsidRDefault="00962B1E" w:rsidP="00962B1E">
            <w:pPr>
              <w:spacing w:line="240" w:lineRule="auto"/>
              <w:jc w:val="center"/>
              <w:rPr>
                <w:rFonts w:ascii="Arial" w:eastAsia="Times New Roman" w:hAnsi="Arial" w:cs="Arial"/>
                <w:b/>
                <w:bCs/>
                <w:color w:val="FFFFFF"/>
                <w:sz w:val="20"/>
                <w:szCs w:val="20"/>
                <w:lang w:eastAsia="es-CO"/>
              </w:rPr>
            </w:pPr>
            <w:r w:rsidRPr="00962B1E">
              <w:rPr>
                <w:rFonts w:ascii="Arial" w:eastAsia="Times New Roman" w:hAnsi="Arial" w:cs="Arial"/>
                <w:b/>
                <w:bCs/>
                <w:color w:val="FFFFFF"/>
                <w:sz w:val="20"/>
                <w:szCs w:val="20"/>
                <w:lang w:eastAsia="es-CO"/>
              </w:rPr>
              <w:t>Avance Cualitativo</w:t>
            </w:r>
          </w:p>
        </w:tc>
        <w:tc>
          <w:tcPr>
            <w:tcW w:w="310" w:type="pct"/>
            <w:shd w:val="clear" w:color="000000" w:fill="70AD47"/>
            <w:noWrap/>
            <w:vAlign w:val="center"/>
            <w:hideMark/>
          </w:tcPr>
          <w:p w14:paraId="3A0254B2" w14:textId="77777777" w:rsidR="00962B1E" w:rsidRPr="00962B1E" w:rsidRDefault="00962B1E" w:rsidP="00962B1E">
            <w:pPr>
              <w:spacing w:line="240" w:lineRule="auto"/>
              <w:jc w:val="center"/>
              <w:rPr>
                <w:rFonts w:ascii="Arial" w:eastAsia="Times New Roman" w:hAnsi="Arial" w:cs="Arial"/>
                <w:b/>
                <w:bCs/>
                <w:color w:val="FFFFFF"/>
                <w:sz w:val="20"/>
                <w:szCs w:val="20"/>
                <w:lang w:eastAsia="es-CO"/>
              </w:rPr>
            </w:pPr>
            <w:r w:rsidRPr="00962B1E">
              <w:rPr>
                <w:rFonts w:ascii="Arial" w:eastAsia="Times New Roman" w:hAnsi="Arial" w:cs="Arial"/>
                <w:b/>
                <w:bCs/>
                <w:color w:val="FFFFFF"/>
                <w:sz w:val="20"/>
                <w:szCs w:val="20"/>
                <w:lang w:eastAsia="es-CO"/>
              </w:rPr>
              <w:t>17%</w:t>
            </w:r>
          </w:p>
        </w:tc>
      </w:tr>
      <w:tr w:rsidR="00962B1E" w:rsidRPr="00962B1E" w14:paraId="4EF5D387" w14:textId="77777777" w:rsidTr="008E0E70">
        <w:trPr>
          <w:trHeight w:val="1305"/>
        </w:trPr>
        <w:tc>
          <w:tcPr>
            <w:tcW w:w="1683" w:type="pct"/>
            <w:shd w:val="clear" w:color="auto" w:fill="auto"/>
            <w:hideMark/>
          </w:tcPr>
          <w:p w14:paraId="44A55AA4"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Asociaciones de usuarios de distritos de adecuación de tierras capacitadas</w:t>
            </w:r>
          </w:p>
        </w:tc>
        <w:tc>
          <w:tcPr>
            <w:tcW w:w="402" w:type="pct"/>
            <w:shd w:val="clear" w:color="000000" w:fill="FFFFFF"/>
            <w:vAlign w:val="center"/>
            <w:hideMark/>
          </w:tcPr>
          <w:p w14:paraId="16932078"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100</w:t>
            </w:r>
          </w:p>
        </w:tc>
        <w:tc>
          <w:tcPr>
            <w:tcW w:w="722" w:type="pct"/>
            <w:shd w:val="clear" w:color="000000" w:fill="FFFFFF"/>
            <w:vAlign w:val="center"/>
            <w:hideMark/>
          </w:tcPr>
          <w:p w14:paraId="25515BBC"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3D39015B"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La Dirección de Adecuación de Tierras continuó con el apoyo técnico para la contratación del operador logístico, que permita el inicio de la ejecución de las actividades proyectadas para la educación de las asociaciones de usuarios de adecuación de tierras.</w:t>
            </w:r>
          </w:p>
        </w:tc>
      </w:tr>
      <w:tr w:rsidR="00962B1E" w:rsidRPr="00962B1E" w14:paraId="795B5FE2" w14:textId="77777777" w:rsidTr="008E0E70">
        <w:trPr>
          <w:trHeight w:val="5370"/>
        </w:trPr>
        <w:tc>
          <w:tcPr>
            <w:tcW w:w="1683" w:type="pct"/>
            <w:shd w:val="clear" w:color="auto" w:fill="auto"/>
            <w:hideMark/>
          </w:tcPr>
          <w:p w14:paraId="47C0C938"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lastRenderedPageBreak/>
              <w:t>Distritos de adecuación de tierras acompañados en la prestación del servicio público</w:t>
            </w:r>
          </w:p>
        </w:tc>
        <w:tc>
          <w:tcPr>
            <w:tcW w:w="402" w:type="pct"/>
            <w:shd w:val="clear" w:color="000000" w:fill="FFFFFF"/>
            <w:vAlign w:val="center"/>
            <w:hideMark/>
          </w:tcPr>
          <w:p w14:paraId="49F447C1"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100</w:t>
            </w:r>
          </w:p>
        </w:tc>
        <w:tc>
          <w:tcPr>
            <w:tcW w:w="722" w:type="pct"/>
            <w:shd w:val="clear" w:color="000000" w:fill="FFFFFF"/>
            <w:vAlign w:val="center"/>
            <w:hideMark/>
          </w:tcPr>
          <w:p w14:paraId="3B718BDC"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30%</w:t>
            </w:r>
          </w:p>
        </w:tc>
        <w:tc>
          <w:tcPr>
            <w:tcW w:w="2192" w:type="pct"/>
            <w:gridSpan w:val="2"/>
            <w:shd w:val="clear" w:color="auto" w:fill="auto"/>
            <w:hideMark/>
          </w:tcPr>
          <w:p w14:paraId="0E0F3B1C" w14:textId="176D1E97" w:rsidR="00962B1E" w:rsidRPr="00962B1E" w:rsidRDefault="00962B1E" w:rsidP="00047DD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Marzo: acompañamiento en la prestación del servicio público de adecuación de tierras de los Distritos: María La Baja, </w:t>
            </w:r>
            <w:proofErr w:type="spellStart"/>
            <w:r w:rsidRPr="00962B1E">
              <w:rPr>
                <w:rFonts w:ascii="Arial" w:eastAsia="Times New Roman" w:hAnsi="Arial" w:cs="Arial"/>
                <w:color w:val="000000"/>
                <w:sz w:val="20"/>
                <w:szCs w:val="20"/>
                <w:lang w:eastAsia="es-CO"/>
              </w:rPr>
              <w:t>Chicamocha</w:t>
            </w:r>
            <w:proofErr w:type="spellEnd"/>
            <w:r w:rsidRPr="00962B1E">
              <w:rPr>
                <w:rFonts w:ascii="Arial" w:eastAsia="Times New Roman" w:hAnsi="Arial" w:cs="Arial"/>
                <w:color w:val="000000"/>
                <w:sz w:val="20"/>
                <w:szCs w:val="20"/>
                <w:lang w:eastAsia="es-CO"/>
              </w:rPr>
              <w:t xml:space="preserve">, Aracataca, Río Frío, </w:t>
            </w:r>
            <w:proofErr w:type="spellStart"/>
            <w:r w:rsidRPr="00962B1E">
              <w:rPr>
                <w:rFonts w:ascii="Arial" w:eastAsia="Times New Roman" w:hAnsi="Arial" w:cs="Arial"/>
                <w:color w:val="000000"/>
                <w:sz w:val="20"/>
                <w:szCs w:val="20"/>
                <w:lang w:eastAsia="es-CO"/>
              </w:rPr>
              <w:t>Tucurinca</w:t>
            </w:r>
            <w:proofErr w:type="spellEnd"/>
            <w:r w:rsidRPr="00962B1E">
              <w:rPr>
                <w:rFonts w:ascii="Arial" w:eastAsia="Times New Roman" w:hAnsi="Arial" w:cs="Arial"/>
                <w:color w:val="000000"/>
                <w:sz w:val="20"/>
                <w:szCs w:val="20"/>
                <w:lang w:eastAsia="es-CO"/>
              </w:rPr>
              <w:t>, Abrego, Zulia, Lebrija, RUT, sobre el proyecto de presupuesto cálculo de tarifas y los planes de administración, operación y conservación a ejecutar en la vigencia del 2021.</w:t>
            </w:r>
            <w:r w:rsidRPr="00962B1E">
              <w:rPr>
                <w:rFonts w:ascii="Arial" w:eastAsia="Times New Roman" w:hAnsi="Arial" w:cs="Arial"/>
                <w:color w:val="000000"/>
                <w:sz w:val="20"/>
                <w:szCs w:val="20"/>
                <w:lang w:eastAsia="es-CO"/>
              </w:rPr>
              <w:br/>
            </w:r>
            <w:r w:rsidRPr="00962B1E">
              <w:rPr>
                <w:rFonts w:ascii="Arial" w:eastAsia="Times New Roman" w:hAnsi="Arial" w:cs="Arial"/>
                <w:color w:val="000000"/>
                <w:sz w:val="20"/>
                <w:szCs w:val="20"/>
                <w:lang w:eastAsia="es-CO"/>
              </w:rPr>
              <w:br/>
              <w:t>Febrero: Acompañamiento en la prestación del servicio público de adecuación de tierras a usuari</w:t>
            </w:r>
            <w:r w:rsidR="00047DDE">
              <w:rPr>
                <w:rFonts w:ascii="Arial" w:eastAsia="Times New Roman" w:hAnsi="Arial" w:cs="Arial"/>
                <w:color w:val="000000"/>
                <w:sz w:val="20"/>
                <w:szCs w:val="20"/>
                <w:lang w:eastAsia="es-CO"/>
              </w:rPr>
              <w:t xml:space="preserve">os de los Distritos: Zulia, Coello, </w:t>
            </w:r>
            <w:proofErr w:type="spellStart"/>
            <w:r w:rsidR="00047DDE">
              <w:rPr>
                <w:rFonts w:ascii="Arial" w:eastAsia="Times New Roman" w:hAnsi="Arial" w:cs="Arial"/>
                <w:color w:val="000000"/>
                <w:sz w:val="20"/>
                <w:szCs w:val="20"/>
                <w:lang w:eastAsia="es-CO"/>
              </w:rPr>
              <w:t>Tucurinca</w:t>
            </w:r>
            <w:proofErr w:type="spellEnd"/>
            <w:r w:rsidR="00047DDE">
              <w:rPr>
                <w:rFonts w:ascii="Arial" w:eastAsia="Times New Roman" w:hAnsi="Arial" w:cs="Arial"/>
                <w:color w:val="000000"/>
                <w:sz w:val="20"/>
                <w:szCs w:val="20"/>
                <w:lang w:eastAsia="es-CO"/>
              </w:rPr>
              <w:t>, Sabanera, La Antigua</w:t>
            </w:r>
            <w:r w:rsidRPr="00962B1E">
              <w:rPr>
                <w:rFonts w:ascii="Arial" w:eastAsia="Times New Roman" w:hAnsi="Arial" w:cs="Arial"/>
                <w:color w:val="000000"/>
                <w:sz w:val="20"/>
                <w:szCs w:val="20"/>
                <w:lang w:eastAsia="es-CO"/>
              </w:rPr>
              <w:t xml:space="preserve">, </w:t>
            </w:r>
            <w:proofErr w:type="spellStart"/>
            <w:r w:rsidRPr="00962B1E">
              <w:rPr>
                <w:rFonts w:ascii="Arial" w:eastAsia="Times New Roman" w:hAnsi="Arial" w:cs="Arial"/>
                <w:color w:val="000000"/>
                <w:sz w:val="20"/>
                <w:szCs w:val="20"/>
                <w:lang w:eastAsia="es-CO"/>
              </w:rPr>
              <w:t>S</w:t>
            </w:r>
            <w:r w:rsidR="00047DDE">
              <w:rPr>
                <w:rFonts w:ascii="Arial" w:eastAsia="Times New Roman" w:hAnsi="Arial" w:cs="Arial"/>
                <w:color w:val="000000"/>
                <w:sz w:val="20"/>
                <w:szCs w:val="20"/>
                <w:lang w:eastAsia="es-CO"/>
              </w:rPr>
              <w:t>usagramal</w:t>
            </w:r>
            <w:proofErr w:type="spellEnd"/>
            <w:r w:rsidR="00047DDE">
              <w:rPr>
                <w:rFonts w:ascii="Arial" w:eastAsia="Times New Roman" w:hAnsi="Arial" w:cs="Arial"/>
                <w:color w:val="000000"/>
                <w:sz w:val="20"/>
                <w:szCs w:val="20"/>
                <w:lang w:eastAsia="es-CO"/>
              </w:rPr>
              <w:t xml:space="preserve"> y Repelón</w:t>
            </w:r>
            <w:r w:rsidRPr="00962B1E">
              <w:rPr>
                <w:rFonts w:ascii="Arial" w:eastAsia="Times New Roman" w:hAnsi="Arial" w:cs="Arial"/>
                <w:color w:val="000000"/>
                <w:sz w:val="20"/>
                <w:szCs w:val="20"/>
                <w:lang w:eastAsia="es-CO"/>
              </w:rPr>
              <w:t>, en temas como: cartera; Registro General de Usuarios; obras de infraestructura, entre otros.</w:t>
            </w:r>
            <w:r w:rsidRPr="00962B1E">
              <w:rPr>
                <w:rFonts w:ascii="Arial" w:eastAsia="Times New Roman" w:hAnsi="Arial" w:cs="Arial"/>
                <w:color w:val="000000"/>
                <w:sz w:val="20"/>
                <w:szCs w:val="20"/>
                <w:lang w:eastAsia="es-CO"/>
              </w:rPr>
              <w:br/>
            </w:r>
            <w:r w:rsidRPr="00962B1E">
              <w:rPr>
                <w:rFonts w:ascii="Arial" w:eastAsia="Times New Roman" w:hAnsi="Arial" w:cs="Arial"/>
                <w:color w:val="000000"/>
                <w:sz w:val="20"/>
                <w:szCs w:val="20"/>
                <w:lang w:eastAsia="es-CO"/>
              </w:rPr>
              <w:br/>
              <w:t xml:space="preserve">Enero: Se proyectó la propuesta, anexo técnico y estudios previos para la suscripción del nuevo contrato de administración del Distrito de Adecuación de Tierras de Abrego, Norte de Santander. Se dio trámite a solicitud de prescripción de obligación de usuarios de los Distritos Montería - </w:t>
            </w:r>
            <w:proofErr w:type="spellStart"/>
            <w:r w:rsidRPr="00962B1E">
              <w:rPr>
                <w:rFonts w:ascii="Arial" w:eastAsia="Times New Roman" w:hAnsi="Arial" w:cs="Arial"/>
                <w:color w:val="000000"/>
                <w:sz w:val="20"/>
                <w:szCs w:val="20"/>
                <w:lang w:eastAsia="es-CO"/>
              </w:rPr>
              <w:t>Mocarí</w:t>
            </w:r>
            <w:proofErr w:type="spellEnd"/>
            <w:r w:rsidRPr="00962B1E">
              <w:rPr>
                <w:rFonts w:ascii="Arial" w:eastAsia="Times New Roman" w:hAnsi="Arial" w:cs="Arial"/>
                <w:color w:val="000000"/>
                <w:sz w:val="20"/>
                <w:szCs w:val="20"/>
                <w:lang w:eastAsia="es-CO"/>
              </w:rPr>
              <w:t xml:space="preserve">, La Doctrina, </w:t>
            </w:r>
            <w:proofErr w:type="spellStart"/>
            <w:r w:rsidRPr="00962B1E">
              <w:rPr>
                <w:rFonts w:ascii="Arial" w:eastAsia="Times New Roman" w:hAnsi="Arial" w:cs="Arial"/>
                <w:color w:val="000000"/>
                <w:sz w:val="20"/>
                <w:szCs w:val="20"/>
                <w:lang w:eastAsia="es-CO"/>
              </w:rPr>
              <w:t>Chicamocha</w:t>
            </w:r>
            <w:proofErr w:type="spellEnd"/>
            <w:r w:rsidRPr="00962B1E">
              <w:rPr>
                <w:rFonts w:ascii="Arial" w:eastAsia="Times New Roman" w:hAnsi="Arial" w:cs="Arial"/>
                <w:color w:val="000000"/>
                <w:sz w:val="20"/>
                <w:szCs w:val="20"/>
                <w:lang w:eastAsia="es-CO"/>
              </w:rPr>
              <w:t xml:space="preserve"> y Zulia</w:t>
            </w:r>
            <w:r w:rsidR="003A4B47">
              <w:rPr>
                <w:rFonts w:ascii="Arial" w:eastAsia="Times New Roman" w:hAnsi="Arial" w:cs="Arial"/>
                <w:color w:val="000000"/>
                <w:sz w:val="20"/>
                <w:szCs w:val="20"/>
                <w:lang w:eastAsia="es-CO"/>
              </w:rPr>
              <w:t>.</w:t>
            </w:r>
          </w:p>
        </w:tc>
      </w:tr>
      <w:tr w:rsidR="00962B1E" w:rsidRPr="00962B1E" w14:paraId="63D26EA6" w14:textId="77777777" w:rsidTr="008E0E70">
        <w:trPr>
          <w:trHeight w:val="3345"/>
        </w:trPr>
        <w:tc>
          <w:tcPr>
            <w:tcW w:w="1683" w:type="pct"/>
            <w:shd w:val="clear" w:color="auto" w:fill="auto"/>
            <w:hideMark/>
          </w:tcPr>
          <w:p w14:paraId="417A6294"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Distritos de Adecuación de Tierras de mediana y gran escala con Servicio de Administración, operación y conservación - AOC</w:t>
            </w:r>
          </w:p>
        </w:tc>
        <w:tc>
          <w:tcPr>
            <w:tcW w:w="402" w:type="pct"/>
            <w:shd w:val="clear" w:color="000000" w:fill="FFFFFF"/>
            <w:vAlign w:val="center"/>
            <w:hideMark/>
          </w:tcPr>
          <w:p w14:paraId="0F249CD0"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15</w:t>
            </w:r>
          </w:p>
        </w:tc>
        <w:tc>
          <w:tcPr>
            <w:tcW w:w="722" w:type="pct"/>
            <w:shd w:val="clear" w:color="000000" w:fill="FFFFFF"/>
            <w:vAlign w:val="center"/>
            <w:hideMark/>
          </w:tcPr>
          <w:p w14:paraId="0AA09143"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100%</w:t>
            </w:r>
          </w:p>
        </w:tc>
        <w:tc>
          <w:tcPr>
            <w:tcW w:w="2192" w:type="pct"/>
            <w:gridSpan w:val="2"/>
            <w:shd w:val="clear" w:color="auto" w:fill="auto"/>
            <w:hideMark/>
          </w:tcPr>
          <w:p w14:paraId="4CF16592"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La ADR continúa realizando la administración, operación y conservación directa de 6 Distritos: Repelón, Manatí y Santa Lucía (Atlántico); Montería - </w:t>
            </w:r>
            <w:proofErr w:type="spellStart"/>
            <w:r w:rsidRPr="00962B1E">
              <w:rPr>
                <w:rFonts w:ascii="Arial" w:eastAsia="Times New Roman" w:hAnsi="Arial" w:cs="Arial"/>
                <w:color w:val="000000"/>
                <w:sz w:val="20"/>
                <w:szCs w:val="20"/>
                <w:lang w:eastAsia="es-CO"/>
              </w:rPr>
              <w:t>Mocarí</w:t>
            </w:r>
            <w:proofErr w:type="spellEnd"/>
            <w:r w:rsidRPr="00962B1E">
              <w:rPr>
                <w:rFonts w:ascii="Arial" w:eastAsia="Times New Roman" w:hAnsi="Arial" w:cs="Arial"/>
                <w:color w:val="000000"/>
                <w:sz w:val="20"/>
                <w:szCs w:val="20"/>
                <w:lang w:eastAsia="es-CO"/>
              </w:rPr>
              <w:t xml:space="preserve"> y La Doctrina (Montería - </w:t>
            </w:r>
            <w:proofErr w:type="spellStart"/>
            <w:r w:rsidRPr="00962B1E">
              <w:rPr>
                <w:rFonts w:ascii="Arial" w:eastAsia="Times New Roman" w:hAnsi="Arial" w:cs="Arial"/>
                <w:color w:val="000000"/>
                <w:sz w:val="20"/>
                <w:szCs w:val="20"/>
                <w:lang w:eastAsia="es-CO"/>
              </w:rPr>
              <w:t>Mocarí</w:t>
            </w:r>
            <w:proofErr w:type="spellEnd"/>
            <w:r w:rsidRPr="00962B1E">
              <w:rPr>
                <w:rFonts w:ascii="Arial" w:eastAsia="Times New Roman" w:hAnsi="Arial" w:cs="Arial"/>
                <w:color w:val="000000"/>
                <w:sz w:val="20"/>
                <w:szCs w:val="20"/>
                <w:lang w:eastAsia="es-CO"/>
              </w:rPr>
              <w:t xml:space="preserve">) y Valle de </w:t>
            </w:r>
            <w:proofErr w:type="spellStart"/>
            <w:r w:rsidRPr="00962B1E">
              <w:rPr>
                <w:rFonts w:ascii="Arial" w:eastAsia="Times New Roman" w:hAnsi="Arial" w:cs="Arial"/>
                <w:color w:val="000000"/>
                <w:sz w:val="20"/>
                <w:szCs w:val="20"/>
                <w:lang w:eastAsia="es-CO"/>
              </w:rPr>
              <w:t>Sibundoy</w:t>
            </w:r>
            <w:proofErr w:type="spellEnd"/>
            <w:r w:rsidRPr="00962B1E">
              <w:rPr>
                <w:rFonts w:ascii="Arial" w:eastAsia="Times New Roman" w:hAnsi="Arial" w:cs="Arial"/>
                <w:color w:val="000000"/>
                <w:sz w:val="20"/>
                <w:szCs w:val="20"/>
                <w:lang w:eastAsia="es-CO"/>
              </w:rPr>
              <w:t xml:space="preserve"> (Putumayo), mediante la contratación de personal para operar los distritos, vigilancia privada, pago de servicios públicos y pagos ambientales. Igualmente, realiza la supervisión a la administración, operación y conservación realizada por las asociaciones de usuarios a través de contratos, en 9 distritos de mediana y gran escala propiedad de la ADR (María La Baja -Bolívar, Alto </w:t>
            </w:r>
            <w:proofErr w:type="spellStart"/>
            <w:r w:rsidRPr="00962B1E">
              <w:rPr>
                <w:rFonts w:ascii="Arial" w:eastAsia="Times New Roman" w:hAnsi="Arial" w:cs="Arial"/>
                <w:color w:val="000000"/>
                <w:sz w:val="20"/>
                <w:szCs w:val="20"/>
                <w:lang w:eastAsia="es-CO"/>
              </w:rPr>
              <w:t>Chicamocha</w:t>
            </w:r>
            <w:proofErr w:type="spellEnd"/>
            <w:r w:rsidRPr="00962B1E">
              <w:rPr>
                <w:rFonts w:ascii="Arial" w:eastAsia="Times New Roman" w:hAnsi="Arial" w:cs="Arial"/>
                <w:color w:val="000000"/>
                <w:sz w:val="20"/>
                <w:szCs w:val="20"/>
                <w:lang w:eastAsia="es-CO"/>
              </w:rPr>
              <w:t xml:space="preserve"> y </w:t>
            </w:r>
            <w:proofErr w:type="spellStart"/>
            <w:r w:rsidRPr="00962B1E">
              <w:rPr>
                <w:rFonts w:ascii="Arial" w:eastAsia="Times New Roman" w:hAnsi="Arial" w:cs="Arial"/>
                <w:color w:val="000000"/>
                <w:sz w:val="20"/>
                <w:szCs w:val="20"/>
                <w:lang w:eastAsia="es-CO"/>
              </w:rPr>
              <w:t>Firavitoba</w:t>
            </w:r>
            <w:proofErr w:type="spellEnd"/>
            <w:r w:rsidRPr="00962B1E">
              <w:rPr>
                <w:rFonts w:ascii="Arial" w:eastAsia="Times New Roman" w:hAnsi="Arial" w:cs="Arial"/>
                <w:color w:val="000000"/>
                <w:sz w:val="20"/>
                <w:szCs w:val="20"/>
                <w:lang w:eastAsia="es-CO"/>
              </w:rPr>
              <w:t xml:space="preserve"> -Boyacá, Aracataca, Río Frio y </w:t>
            </w:r>
            <w:proofErr w:type="spellStart"/>
            <w:r w:rsidRPr="00962B1E">
              <w:rPr>
                <w:rFonts w:ascii="Arial" w:eastAsia="Times New Roman" w:hAnsi="Arial" w:cs="Arial"/>
                <w:color w:val="000000"/>
                <w:sz w:val="20"/>
                <w:szCs w:val="20"/>
                <w:lang w:eastAsia="es-CO"/>
              </w:rPr>
              <w:t>Tucurinca</w:t>
            </w:r>
            <w:proofErr w:type="spellEnd"/>
            <w:r w:rsidRPr="00962B1E">
              <w:rPr>
                <w:rFonts w:ascii="Arial" w:eastAsia="Times New Roman" w:hAnsi="Arial" w:cs="Arial"/>
                <w:color w:val="000000"/>
                <w:sz w:val="20"/>
                <w:szCs w:val="20"/>
                <w:lang w:eastAsia="es-CO"/>
              </w:rPr>
              <w:t xml:space="preserve">-Magdalena, Abrego Y Zulia -Norte de Santander y </w:t>
            </w:r>
            <w:proofErr w:type="spellStart"/>
            <w:r w:rsidRPr="00962B1E">
              <w:rPr>
                <w:rFonts w:ascii="Arial" w:eastAsia="Times New Roman" w:hAnsi="Arial" w:cs="Arial"/>
                <w:color w:val="000000"/>
                <w:sz w:val="20"/>
                <w:szCs w:val="20"/>
                <w:lang w:eastAsia="es-CO"/>
              </w:rPr>
              <w:t>Roldanillo</w:t>
            </w:r>
            <w:proofErr w:type="spellEnd"/>
            <w:r w:rsidRPr="00962B1E">
              <w:rPr>
                <w:rFonts w:ascii="Arial" w:eastAsia="Times New Roman" w:hAnsi="Arial" w:cs="Arial"/>
                <w:color w:val="000000"/>
                <w:sz w:val="20"/>
                <w:szCs w:val="20"/>
                <w:lang w:eastAsia="es-CO"/>
              </w:rPr>
              <w:t>, La Unión, Toro – Rut -Valle del Cauca).</w:t>
            </w:r>
          </w:p>
        </w:tc>
      </w:tr>
      <w:tr w:rsidR="00962B1E" w:rsidRPr="00962B1E" w14:paraId="3918BBD8" w14:textId="77777777" w:rsidTr="008E0E70">
        <w:trPr>
          <w:trHeight w:val="510"/>
        </w:trPr>
        <w:tc>
          <w:tcPr>
            <w:tcW w:w="1683" w:type="pct"/>
            <w:shd w:val="clear" w:color="auto" w:fill="auto"/>
            <w:hideMark/>
          </w:tcPr>
          <w:p w14:paraId="1AEBC3A1"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lastRenderedPageBreak/>
              <w:t>Documentos técnicos elaborados</w:t>
            </w:r>
          </w:p>
        </w:tc>
        <w:tc>
          <w:tcPr>
            <w:tcW w:w="402" w:type="pct"/>
            <w:shd w:val="clear" w:color="000000" w:fill="FFFFFF"/>
            <w:vAlign w:val="center"/>
            <w:hideMark/>
          </w:tcPr>
          <w:p w14:paraId="61BCAB7D"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w:t>
            </w:r>
          </w:p>
        </w:tc>
        <w:tc>
          <w:tcPr>
            <w:tcW w:w="722" w:type="pct"/>
            <w:shd w:val="clear" w:color="000000" w:fill="FFFFFF"/>
            <w:vAlign w:val="center"/>
            <w:hideMark/>
          </w:tcPr>
          <w:p w14:paraId="1E0BB680"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4265090B"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Durante el primer semestre no se realizaron avances en la ejecución del producto.</w:t>
            </w:r>
          </w:p>
        </w:tc>
      </w:tr>
      <w:tr w:rsidR="00962B1E" w:rsidRPr="00962B1E" w14:paraId="195BFA5A" w14:textId="77777777" w:rsidTr="008E0E70">
        <w:trPr>
          <w:trHeight w:val="1530"/>
        </w:trPr>
        <w:tc>
          <w:tcPr>
            <w:tcW w:w="1683" w:type="pct"/>
            <w:shd w:val="clear" w:color="auto" w:fill="auto"/>
            <w:hideMark/>
          </w:tcPr>
          <w:p w14:paraId="04EB26F0"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Hectáreas con distritos de adecuación de tierras construidos y ampliados entregadas  </w:t>
            </w:r>
          </w:p>
        </w:tc>
        <w:tc>
          <w:tcPr>
            <w:tcW w:w="402" w:type="pct"/>
            <w:shd w:val="clear" w:color="000000" w:fill="FFFFFF"/>
            <w:vAlign w:val="center"/>
            <w:hideMark/>
          </w:tcPr>
          <w:p w14:paraId="4C417404"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2.606</w:t>
            </w:r>
          </w:p>
        </w:tc>
        <w:tc>
          <w:tcPr>
            <w:tcW w:w="722" w:type="pct"/>
            <w:shd w:val="clear" w:color="000000" w:fill="FFFFFF"/>
            <w:vAlign w:val="center"/>
            <w:hideMark/>
          </w:tcPr>
          <w:p w14:paraId="060CAB74"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2F1A2721"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En vigencias anteriores no se pudo contratar la construcción de nuevos distritos, por lo cual no se reporta avance.</w:t>
            </w:r>
          </w:p>
        </w:tc>
      </w:tr>
      <w:tr w:rsidR="00962B1E" w:rsidRPr="00962B1E" w14:paraId="43A16FE0" w14:textId="77777777" w:rsidTr="008E0E70">
        <w:trPr>
          <w:trHeight w:val="2985"/>
        </w:trPr>
        <w:tc>
          <w:tcPr>
            <w:tcW w:w="1683" w:type="pct"/>
            <w:shd w:val="clear" w:color="auto" w:fill="auto"/>
            <w:hideMark/>
          </w:tcPr>
          <w:p w14:paraId="78A00E9B"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Hectáreas con distritos de adecuación de tierras rehabilitados, complementados y modernizados entregadas</w:t>
            </w:r>
          </w:p>
        </w:tc>
        <w:tc>
          <w:tcPr>
            <w:tcW w:w="402" w:type="pct"/>
            <w:shd w:val="clear" w:color="000000" w:fill="FFFFFF"/>
            <w:vAlign w:val="center"/>
            <w:hideMark/>
          </w:tcPr>
          <w:p w14:paraId="2F5D4E31"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23.207</w:t>
            </w:r>
          </w:p>
        </w:tc>
        <w:tc>
          <w:tcPr>
            <w:tcW w:w="722" w:type="pct"/>
            <w:shd w:val="clear" w:color="000000" w:fill="FFFFFF"/>
            <w:vAlign w:val="center"/>
            <w:hideMark/>
          </w:tcPr>
          <w:p w14:paraId="298D6746"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30BFA81F"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Se avanza en la ejecución de obras de rehabilitación en distritos de propiedad de la ADR, con el siguiente porcentaje físico: Atlántico: Repelón: 17% - Santa Lucía: 20% Bolívar: María La Baja: 22% Boyacá: </w:t>
            </w:r>
            <w:proofErr w:type="spellStart"/>
            <w:r w:rsidRPr="00962B1E">
              <w:rPr>
                <w:rFonts w:ascii="Arial" w:eastAsia="Times New Roman" w:hAnsi="Arial" w:cs="Arial"/>
                <w:color w:val="000000"/>
                <w:sz w:val="20"/>
                <w:szCs w:val="20"/>
                <w:lang w:eastAsia="es-CO"/>
              </w:rPr>
              <w:t>Chicamocha</w:t>
            </w:r>
            <w:proofErr w:type="spellEnd"/>
            <w:r w:rsidRPr="00962B1E">
              <w:rPr>
                <w:rFonts w:ascii="Arial" w:eastAsia="Times New Roman" w:hAnsi="Arial" w:cs="Arial"/>
                <w:color w:val="000000"/>
                <w:sz w:val="20"/>
                <w:szCs w:val="20"/>
                <w:lang w:eastAsia="es-CO"/>
              </w:rPr>
              <w:t xml:space="preserve">: 3,5% Cesar: </w:t>
            </w:r>
            <w:proofErr w:type="spellStart"/>
            <w:r w:rsidRPr="00962B1E">
              <w:rPr>
                <w:rFonts w:ascii="Arial" w:eastAsia="Times New Roman" w:hAnsi="Arial" w:cs="Arial"/>
                <w:color w:val="000000"/>
                <w:sz w:val="20"/>
                <w:szCs w:val="20"/>
                <w:lang w:eastAsia="es-CO"/>
              </w:rPr>
              <w:t>Torcoroma</w:t>
            </w:r>
            <w:proofErr w:type="spellEnd"/>
            <w:r w:rsidRPr="00962B1E">
              <w:rPr>
                <w:rFonts w:ascii="Arial" w:eastAsia="Times New Roman" w:hAnsi="Arial" w:cs="Arial"/>
                <w:color w:val="000000"/>
                <w:sz w:val="20"/>
                <w:szCs w:val="20"/>
                <w:lang w:eastAsia="es-CO"/>
              </w:rPr>
              <w:t xml:space="preserve">: 100% Córdoba: La Doctrina: 55% - Montería - </w:t>
            </w:r>
            <w:proofErr w:type="spellStart"/>
            <w:r w:rsidRPr="00962B1E">
              <w:rPr>
                <w:rFonts w:ascii="Arial" w:eastAsia="Times New Roman" w:hAnsi="Arial" w:cs="Arial"/>
                <w:color w:val="000000"/>
                <w:sz w:val="20"/>
                <w:szCs w:val="20"/>
                <w:lang w:eastAsia="es-CO"/>
              </w:rPr>
              <w:t>Mocarí</w:t>
            </w:r>
            <w:proofErr w:type="spellEnd"/>
            <w:r w:rsidRPr="00962B1E">
              <w:rPr>
                <w:rFonts w:ascii="Arial" w:eastAsia="Times New Roman" w:hAnsi="Arial" w:cs="Arial"/>
                <w:color w:val="000000"/>
                <w:sz w:val="20"/>
                <w:szCs w:val="20"/>
                <w:lang w:eastAsia="es-CO"/>
              </w:rPr>
              <w:t xml:space="preserve">: 20% - Aguas Mohosas: 100% y La Esmeralda: 100% Cundinamarca: Lázaro </w:t>
            </w:r>
            <w:proofErr w:type="spellStart"/>
            <w:r w:rsidRPr="00962B1E">
              <w:rPr>
                <w:rFonts w:ascii="Arial" w:eastAsia="Times New Roman" w:hAnsi="Arial" w:cs="Arial"/>
                <w:color w:val="000000"/>
                <w:sz w:val="20"/>
                <w:szCs w:val="20"/>
                <w:lang w:eastAsia="es-CO"/>
              </w:rPr>
              <w:t>Fonte</w:t>
            </w:r>
            <w:proofErr w:type="spellEnd"/>
            <w:r w:rsidRPr="00962B1E">
              <w:rPr>
                <w:rFonts w:ascii="Arial" w:eastAsia="Times New Roman" w:hAnsi="Arial" w:cs="Arial"/>
                <w:color w:val="000000"/>
                <w:sz w:val="20"/>
                <w:szCs w:val="20"/>
                <w:lang w:eastAsia="es-CO"/>
              </w:rPr>
              <w:t xml:space="preserve">: 8% - </w:t>
            </w:r>
            <w:proofErr w:type="spellStart"/>
            <w:r w:rsidRPr="00962B1E">
              <w:rPr>
                <w:rFonts w:ascii="Arial" w:eastAsia="Times New Roman" w:hAnsi="Arial" w:cs="Arial"/>
                <w:color w:val="000000"/>
                <w:sz w:val="20"/>
                <w:szCs w:val="20"/>
                <w:lang w:eastAsia="es-CO"/>
              </w:rPr>
              <w:t>Disriego</w:t>
            </w:r>
            <w:proofErr w:type="spellEnd"/>
            <w:r w:rsidRPr="00962B1E">
              <w:rPr>
                <w:rFonts w:ascii="Arial" w:eastAsia="Times New Roman" w:hAnsi="Arial" w:cs="Arial"/>
                <w:color w:val="000000"/>
                <w:sz w:val="20"/>
                <w:szCs w:val="20"/>
                <w:lang w:eastAsia="es-CO"/>
              </w:rPr>
              <w:t xml:space="preserve"> No. 2: 10% Huila: La Ulloa: 10% Magdalena: Aracataca: 27% - Río Frío: 94% Nariño: San Francisco: 77% - Alex San Alejandro: 85% Norte de </w:t>
            </w:r>
            <w:proofErr w:type="spellStart"/>
            <w:r w:rsidRPr="00962B1E">
              <w:rPr>
                <w:rFonts w:ascii="Arial" w:eastAsia="Times New Roman" w:hAnsi="Arial" w:cs="Arial"/>
                <w:color w:val="000000"/>
                <w:sz w:val="20"/>
                <w:szCs w:val="20"/>
                <w:lang w:eastAsia="es-CO"/>
              </w:rPr>
              <w:t>Santader:Zulia</w:t>
            </w:r>
            <w:proofErr w:type="spellEnd"/>
            <w:r w:rsidRPr="00962B1E">
              <w:rPr>
                <w:rFonts w:ascii="Arial" w:eastAsia="Times New Roman" w:hAnsi="Arial" w:cs="Arial"/>
                <w:color w:val="000000"/>
                <w:sz w:val="20"/>
                <w:szCs w:val="20"/>
                <w:lang w:eastAsia="es-CO"/>
              </w:rPr>
              <w:t xml:space="preserve">: 8% - Abrego: 45% - Venudites:19,5% Putumayo: </w:t>
            </w:r>
            <w:proofErr w:type="spellStart"/>
            <w:r w:rsidRPr="00962B1E">
              <w:rPr>
                <w:rFonts w:ascii="Arial" w:eastAsia="Times New Roman" w:hAnsi="Arial" w:cs="Arial"/>
                <w:color w:val="000000"/>
                <w:sz w:val="20"/>
                <w:szCs w:val="20"/>
                <w:lang w:eastAsia="es-CO"/>
              </w:rPr>
              <w:t>Sibundoy</w:t>
            </w:r>
            <w:proofErr w:type="spellEnd"/>
            <w:r w:rsidRPr="00962B1E">
              <w:rPr>
                <w:rFonts w:ascii="Arial" w:eastAsia="Times New Roman" w:hAnsi="Arial" w:cs="Arial"/>
                <w:color w:val="000000"/>
                <w:sz w:val="20"/>
                <w:szCs w:val="20"/>
                <w:lang w:eastAsia="es-CO"/>
              </w:rPr>
              <w:t>: 35% Valle del Cauca RUT: 28%</w:t>
            </w:r>
          </w:p>
        </w:tc>
      </w:tr>
      <w:tr w:rsidR="00962B1E" w:rsidRPr="00962B1E" w14:paraId="5AF9DAE5" w14:textId="77777777" w:rsidTr="008E0E70">
        <w:trPr>
          <w:trHeight w:val="1530"/>
        </w:trPr>
        <w:tc>
          <w:tcPr>
            <w:tcW w:w="1683" w:type="pct"/>
            <w:shd w:val="clear" w:color="auto" w:fill="auto"/>
            <w:hideMark/>
          </w:tcPr>
          <w:p w14:paraId="234DAA36"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Hectáreas con estudios de </w:t>
            </w:r>
            <w:proofErr w:type="spellStart"/>
            <w:r w:rsidRPr="00962B1E">
              <w:rPr>
                <w:rFonts w:ascii="Arial" w:eastAsia="Times New Roman" w:hAnsi="Arial" w:cs="Arial"/>
                <w:color w:val="000000"/>
                <w:sz w:val="20"/>
                <w:szCs w:val="20"/>
                <w:lang w:eastAsia="es-CO"/>
              </w:rPr>
              <w:t>preinversion</w:t>
            </w:r>
            <w:proofErr w:type="spellEnd"/>
            <w:r w:rsidRPr="00962B1E">
              <w:rPr>
                <w:rFonts w:ascii="Arial" w:eastAsia="Times New Roman" w:hAnsi="Arial" w:cs="Arial"/>
                <w:color w:val="000000"/>
                <w:sz w:val="20"/>
                <w:szCs w:val="20"/>
                <w:lang w:eastAsia="es-CO"/>
              </w:rPr>
              <w:t xml:space="preserve"> para adecuación de tierras elaborados y entregados</w:t>
            </w:r>
          </w:p>
        </w:tc>
        <w:tc>
          <w:tcPr>
            <w:tcW w:w="402" w:type="pct"/>
            <w:shd w:val="clear" w:color="000000" w:fill="FFFFFF"/>
            <w:vAlign w:val="center"/>
            <w:hideMark/>
          </w:tcPr>
          <w:p w14:paraId="7587982E"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4.423</w:t>
            </w:r>
          </w:p>
        </w:tc>
        <w:tc>
          <w:tcPr>
            <w:tcW w:w="722" w:type="pct"/>
            <w:shd w:val="clear" w:color="000000" w:fill="FFFFFF"/>
            <w:vAlign w:val="center"/>
            <w:hideMark/>
          </w:tcPr>
          <w:p w14:paraId="6DE6103F"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2E0A44B0"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La ADR continúa la ejecución de identificaciones, factibilidad y diseños detallados de proyectos de distritos con recursos de años anteriores, en el marco de los siguientes contratos: Contrato 886 de 2015, Convenios 1046 y 1090 de 2015; Contrato 225 de 2016, Contrato 465 y 481 de 2019.</w:t>
            </w:r>
          </w:p>
        </w:tc>
      </w:tr>
      <w:tr w:rsidR="00962B1E" w:rsidRPr="00962B1E" w14:paraId="00F35DE4" w14:textId="77777777" w:rsidTr="008E0E70">
        <w:trPr>
          <w:trHeight w:val="1020"/>
        </w:trPr>
        <w:tc>
          <w:tcPr>
            <w:tcW w:w="1683" w:type="pct"/>
            <w:shd w:val="clear" w:color="auto" w:fill="auto"/>
            <w:hideMark/>
          </w:tcPr>
          <w:p w14:paraId="3E4F5D8E"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Hectáreas en proceso de ejecución para construcción o ampliación de distritos</w:t>
            </w:r>
          </w:p>
        </w:tc>
        <w:tc>
          <w:tcPr>
            <w:tcW w:w="402" w:type="pct"/>
            <w:shd w:val="clear" w:color="000000" w:fill="FFFFFF"/>
            <w:vAlign w:val="center"/>
            <w:hideMark/>
          </w:tcPr>
          <w:p w14:paraId="05C4ECAD"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100</w:t>
            </w:r>
          </w:p>
        </w:tc>
        <w:tc>
          <w:tcPr>
            <w:tcW w:w="722" w:type="pct"/>
            <w:shd w:val="clear" w:color="000000" w:fill="FFFFFF"/>
            <w:vAlign w:val="center"/>
            <w:hideMark/>
          </w:tcPr>
          <w:p w14:paraId="6EB86563"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33167E2D"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Se avanza en la ejecución de estudios de pre inversión de proyectos de adecuación de tierras de pequeña escala, en el marco de convenios y contrato suscritos con la Universidad Nacional -Medellín), de los cuales se tiene previsto tener la viabilidad de 15 de ellos, lo cual permitirá el inicio del proceso precontractual de un estimado de 100 Ha en 1 o 2 distritos nuevos.  Para la vigencia 2020, se apropiaron recursos por $11.154 millones para contratar e iniciar la construcción o ampliación de distritos de adecuación de tierras.  Para la vigencia </w:t>
            </w:r>
            <w:r w:rsidRPr="00962B1E">
              <w:rPr>
                <w:rFonts w:ascii="Arial" w:eastAsia="Times New Roman" w:hAnsi="Arial" w:cs="Arial"/>
                <w:color w:val="000000"/>
                <w:sz w:val="20"/>
                <w:szCs w:val="20"/>
                <w:lang w:eastAsia="es-CO"/>
              </w:rPr>
              <w:lastRenderedPageBreak/>
              <w:t>2020, se apropiaron recursos por $11.154 millones para contratar e iniciar la construcción o ampliación de distritos de adecuación de tierras.</w:t>
            </w:r>
          </w:p>
        </w:tc>
      </w:tr>
      <w:tr w:rsidR="00962B1E" w:rsidRPr="00962B1E" w14:paraId="2A136A19" w14:textId="77777777" w:rsidTr="008E0E70">
        <w:trPr>
          <w:trHeight w:val="1020"/>
        </w:trPr>
        <w:tc>
          <w:tcPr>
            <w:tcW w:w="1683" w:type="pct"/>
            <w:shd w:val="clear" w:color="auto" w:fill="auto"/>
            <w:hideMark/>
          </w:tcPr>
          <w:p w14:paraId="1365A9A1"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lastRenderedPageBreak/>
              <w:t>Hectáreas en proceso de ejecución para estudios de pre inversión.</w:t>
            </w:r>
          </w:p>
        </w:tc>
        <w:tc>
          <w:tcPr>
            <w:tcW w:w="402" w:type="pct"/>
            <w:shd w:val="clear" w:color="000000" w:fill="FFFFFF"/>
            <w:vAlign w:val="center"/>
            <w:hideMark/>
          </w:tcPr>
          <w:p w14:paraId="3E294900"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666</w:t>
            </w:r>
          </w:p>
        </w:tc>
        <w:tc>
          <w:tcPr>
            <w:tcW w:w="722" w:type="pct"/>
            <w:shd w:val="clear" w:color="000000" w:fill="FFFFFF"/>
            <w:vAlign w:val="center"/>
            <w:hideMark/>
          </w:tcPr>
          <w:p w14:paraId="50E25D3A"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171F6286" w14:textId="68786610"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Se avanza en el </w:t>
            </w:r>
            <w:r>
              <w:rPr>
                <w:rFonts w:ascii="Arial" w:eastAsia="Times New Roman" w:hAnsi="Arial" w:cs="Arial"/>
                <w:color w:val="000000"/>
                <w:sz w:val="20"/>
                <w:szCs w:val="20"/>
                <w:lang w:eastAsia="es-CO"/>
              </w:rPr>
              <w:t xml:space="preserve">proceso precontractual para los </w:t>
            </w:r>
            <w:r w:rsidRPr="00962B1E">
              <w:rPr>
                <w:rFonts w:ascii="Arial" w:eastAsia="Times New Roman" w:hAnsi="Arial" w:cs="Arial"/>
                <w:color w:val="000000"/>
                <w:sz w:val="20"/>
                <w:szCs w:val="20"/>
                <w:lang w:eastAsia="es-CO"/>
              </w:rPr>
              <w:t xml:space="preserve">estudios de factibilidad y diseños detallados, actualización y complementación de los estudios de factibilidad y diseños detallados de 14 proyectos de adecuación de tierras, localizado en los departamentos de Boyacá, Cauca, Cundinamarca, Magdalena, Nariño y Santander. Adicionalmente, en el proceso para la actualización de Estudios y Diseños de los Proyectos Estratégicos de Ranchería, Triángulo del Tolima y Tesalia – </w:t>
            </w:r>
            <w:proofErr w:type="spellStart"/>
            <w:r w:rsidRPr="00962B1E">
              <w:rPr>
                <w:rFonts w:ascii="Arial" w:eastAsia="Times New Roman" w:hAnsi="Arial" w:cs="Arial"/>
                <w:color w:val="000000"/>
                <w:sz w:val="20"/>
                <w:szCs w:val="20"/>
                <w:lang w:eastAsia="es-CO"/>
              </w:rPr>
              <w:t>Paicol</w:t>
            </w:r>
            <w:proofErr w:type="spellEnd"/>
            <w:r w:rsidRPr="00962B1E">
              <w:rPr>
                <w:rFonts w:ascii="Arial" w:eastAsia="Times New Roman" w:hAnsi="Arial" w:cs="Arial"/>
                <w:color w:val="000000"/>
                <w:sz w:val="20"/>
                <w:szCs w:val="20"/>
                <w:lang w:eastAsia="es-CO"/>
              </w:rPr>
              <w:t>. Lo anterior, en el marco del Contrato 225 de 2015 (FINDETER).</w:t>
            </w:r>
          </w:p>
        </w:tc>
      </w:tr>
      <w:tr w:rsidR="00962B1E" w:rsidRPr="00962B1E" w14:paraId="66EAE831" w14:textId="77777777" w:rsidTr="008E0E70">
        <w:trPr>
          <w:trHeight w:val="1530"/>
        </w:trPr>
        <w:tc>
          <w:tcPr>
            <w:tcW w:w="1683" w:type="pct"/>
            <w:shd w:val="clear" w:color="auto" w:fill="auto"/>
            <w:hideMark/>
          </w:tcPr>
          <w:p w14:paraId="45DA1C7F"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Hectáreas en proceso de ejecución para rehabilitación, complementación o modernización de distritos</w:t>
            </w:r>
          </w:p>
        </w:tc>
        <w:tc>
          <w:tcPr>
            <w:tcW w:w="402" w:type="pct"/>
            <w:shd w:val="clear" w:color="000000" w:fill="FFFFFF"/>
            <w:vAlign w:val="center"/>
            <w:hideMark/>
          </w:tcPr>
          <w:p w14:paraId="5B83FEB0"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24.591</w:t>
            </w:r>
          </w:p>
        </w:tc>
        <w:tc>
          <w:tcPr>
            <w:tcW w:w="722" w:type="pct"/>
            <w:shd w:val="clear" w:color="000000" w:fill="FFFFFF"/>
            <w:vAlign w:val="center"/>
            <w:hideMark/>
          </w:tcPr>
          <w:p w14:paraId="71CE9BDF"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1E3EB678"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Se mantiene el bloqueo de recursos vigencia 2020, por valor de $9.579.582.551. De esta manera, los recursos se podrían destinar a la rehabilitación parcial de 2 Distritos a seleccionar, de acuerdo con el cumplimiento de requisitos de inversión (permisos ambientales, diseños, etc.) impactando 4.100 Ha.</w:t>
            </w:r>
          </w:p>
        </w:tc>
      </w:tr>
      <w:tr w:rsidR="00962B1E" w:rsidRPr="00962B1E" w14:paraId="682BA2CC" w14:textId="77777777" w:rsidTr="008E0E70">
        <w:trPr>
          <w:trHeight w:val="2085"/>
        </w:trPr>
        <w:tc>
          <w:tcPr>
            <w:tcW w:w="1683" w:type="pct"/>
            <w:shd w:val="clear" w:color="auto" w:fill="auto"/>
            <w:hideMark/>
          </w:tcPr>
          <w:p w14:paraId="5CDA8E65"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Proyectos de adecuación de tierras revisados  </w:t>
            </w:r>
          </w:p>
        </w:tc>
        <w:tc>
          <w:tcPr>
            <w:tcW w:w="402" w:type="pct"/>
            <w:shd w:val="clear" w:color="000000" w:fill="FFFFFF"/>
            <w:vAlign w:val="center"/>
            <w:hideMark/>
          </w:tcPr>
          <w:p w14:paraId="4795966D"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15</w:t>
            </w:r>
          </w:p>
        </w:tc>
        <w:tc>
          <w:tcPr>
            <w:tcW w:w="722" w:type="pct"/>
            <w:shd w:val="clear" w:color="000000" w:fill="FFFFFF"/>
            <w:vAlign w:val="center"/>
            <w:hideMark/>
          </w:tcPr>
          <w:p w14:paraId="50B8B65A"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593883F8"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Se encuentran en proceso de revisión los siguientes proyectos de adecuación de tierras, remitidos por entidades territoriales: Proyecto de Adecuación de tierras en los centros poblados de </w:t>
            </w:r>
            <w:proofErr w:type="spellStart"/>
            <w:r w:rsidRPr="00962B1E">
              <w:rPr>
                <w:rFonts w:ascii="Arial" w:eastAsia="Times New Roman" w:hAnsi="Arial" w:cs="Arial"/>
                <w:color w:val="000000"/>
                <w:sz w:val="20"/>
                <w:szCs w:val="20"/>
                <w:lang w:eastAsia="es-CO"/>
              </w:rPr>
              <w:t>Calucé</w:t>
            </w:r>
            <w:proofErr w:type="spellEnd"/>
            <w:r w:rsidRPr="00962B1E">
              <w:rPr>
                <w:rFonts w:ascii="Arial" w:eastAsia="Times New Roman" w:hAnsi="Arial" w:cs="Arial"/>
                <w:color w:val="000000"/>
                <w:sz w:val="20"/>
                <w:szCs w:val="20"/>
                <w:lang w:eastAsia="es-CO"/>
              </w:rPr>
              <w:t xml:space="preserve"> y </w:t>
            </w:r>
            <w:proofErr w:type="spellStart"/>
            <w:r w:rsidRPr="00962B1E">
              <w:rPr>
                <w:rFonts w:ascii="Arial" w:eastAsia="Times New Roman" w:hAnsi="Arial" w:cs="Arial"/>
                <w:color w:val="000000"/>
                <w:sz w:val="20"/>
                <w:szCs w:val="20"/>
                <w:lang w:eastAsia="es-CO"/>
              </w:rPr>
              <w:t>Tenjo</w:t>
            </w:r>
            <w:proofErr w:type="spellEnd"/>
            <w:r w:rsidRPr="00962B1E">
              <w:rPr>
                <w:rFonts w:ascii="Arial" w:eastAsia="Times New Roman" w:hAnsi="Arial" w:cs="Arial"/>
                <w:color w:val="000000"/>
                <w:sz w:val="20"/>
                <w:szCs w:val="20"/>
                <w:lang w:eastAsia="es-CO"/>
              </w:rPr>
              <w:t xml:space="preserve"> (Palmira); estudios de factibilidad y diseños detallados de los distritos de adecuación de tierras de PIVIJAY y PLATO (Magdalena); estudios y diseños de Proyecto asociativo de adecuación de tierras USOLACUMBRE y ASOSUSE (Boyacá).</w:t>
            </w:r>
          </w:p>
        </w:tc>
      </w:tr>
      <w:tr w:rsidR="00962B1E" w:rsidRPr="00962B1E" w14:paraId="5F722D39" w14:textId="77777777" w:rsidTr="008E0E70">
        <w:trPr>
          <w:trHeight w:val="2445"/>
        </w:trPr>
        <w:tc>
          <w:tcPr>
            <w:tcW w:w="1683" w:type="pct"/>
            <w:shd w:val="clear" w:color="auto" w:fill="auto"/>
            <w:hideMark/>
          </w:tcPr>
          <w:p w14:paraId="6D1166EA"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lastRenderedPageBreak/>
              <w:t>Proyectos Estratégicos de Adecuación de Tierras con Servicio de Administración, Operación y Mantenimiento - AOM</w:t>
            </w:r>
          </w:p>
        </w:tc>
        <w:tc>
          <w:tcPr>
            <w:tcW w:w="402" w:type="pct"/>
            <w:shd w:val="clear" w:color="000000" w:fill="FFFFFF"/>
            <w:vAlign w:val="center"/>
            <w:hideMark/>
          </w:tcPr>
          <w:p w14:paraId="4FA6140C"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3</w:t>
            </w:r>
          </w:p>
        </w:tc>
        <w:tc>
          <w:tcPr>
            <w:tcW w:w="722" w:type="pct"/>
            <w:shd w:val="clear" w:color="000000" w:fill="FFFFFF"/>
            <w:vAlign w:val="center"/>
            <w:hideMark/>
          </w:tcPr>
          <w:p w14:paraId="315BDFB6"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100%</w:t>
            </w:r>
          </w:p>
        </w:tc>
        <w:tc>
          <w:tcPr>
            <w:tcW w:w="2192" w:type="pct"/>
            <w:gridSpan w:val="2"/>
            <w:shd w:val="clear" w:color="auto" w:fill="auto"/>
            <w:hideMark/>
          </w:tcPr>
          <w:p w14:paraId="2CA20A4E" w14:textId="45EDE8DD"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 xml:space="preserve">La ADR continúa administrando, operando y manteniendo la infraestructura de los proyectos estratégicos de adecuación de tierras Ranchería y Triángulo del Tolima, mediante los Contratos 439 y 443 de 2019 y Contratos 440 y 444 de </w:t>
            </w:r>
            <w:r w:rsidR="00C96025" w:rsidRPr="00962B1E">
              <w:rPr>
                <w:rFonts w:ascii="Arial" w:eastAsia="Times New Roman" w:hAnsi="Arial" w:cs="Arial"/>
                <w:color w:val="000000"/>
                <w:sz w:val="20"/>
                <w:szCs w:val="20"/>
                <w:lang w:eastAsia="es-CO"/>
              </w:rPr>
              <w:t>2019,</w:t>
            </w:r>
            <w:r w:rsidRPr="00962B1E">
              <w:rPr>
                <w:rFonts w:ascii="Arial" w:eastAsia="Times New Roman" w:hAnsi="Arial" w:cs="Arial"/>
                <w:color w:val="000000"/>
                <w:sz w:val="20"/>
                <w:szCs w:val="20"/>
                <w:lang w:eastAsia="es-CO"/>
              </w:rPr>
              <w:t xml:space="preserve"> respectivamente, cuya vigencia actual es hasta el 31 de marzo de 2020. Para el Proyecto Tesalia - Paicol se ejecutan contratos a través de los cuales se realiza la vigilancia y el arriendo de predio para almacenamiento de tubería del proyecto.</w:t>
            </w:r>
          </w:p>
        </w:tc>
      </w:tr>
      <w:tr w:rsidR="00962B1E" w:rsidRPr="00962B1E" w14:paraId="7BB34F18" w14:textId="77777777" w:rsidTr="008E0E70">
        <w:trPr>
          <w:trHeight w:val="615"/>
        </w:trPr>
        <w:tc>
          <w:tcPr>
            <w:tcW w:w="1683" w:type="pct"/>
            <w:shd w:val="clear" w:color="auto" w:fill="auto"/>
            <w:hideMark/>
          </w:tcPr>
          <w:p w14:paraId="3A3DCA36"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Recaudo de Cartera</w:t>
            </w:r>
          </w:p>
        </w:tc>
        <w:tc>
          <w:tcPr>
            <w:tcW w:w="402" w:type="pct"/>
            <w:shd w:val="clear" w:color="000000" w:fill="FFFFFF"/>
            <w:vAlign w:val="center"/>
            <w:hideMark/>
          </w:tcPr>
          <w:p w14:paraId="6F833FAC" w14:textId="77777777" w:rsidR="00962B1E" w:rsidRPr="00962B1E" w:rsidRDefault="00962B1E" w:rsidP="00962B1E">
            <w:pPr>
              <w:spacing w:line="240" w:lineRule="auto"/>
              <w:jc w:val="center"/>
              <w:rPr>
                <w:rFonts w:ascii="Arial" w:eastAsia="Times New Roman" w:hAnsi="Arial" w:cs="Arial"/>
                <w:color w:val="333333"/>
                <w:sz w:val="16"/>
                <w:szCs w:val="16"/>
                <w:lang w:eastAsia="es-CO"/>
              </w:rPr>
            </w:pPr>
            <w:r w:rsidRPr="00962B1E">
              <w:rPr>
                <w:rFonts w:ascii="Arial" w:eastAsia="Times New Roman" w:hAnsi="Arial" w:cs="Arial"/>
                <w:color w:val="333333"/>
                <w:sz w:val="16"/>
                <w:szCs w:val="16"/>
                <w:lang w:eastAsia="es-CO"/>
              </w:rPr>
              <w:t>671.080.556</w:t>
            </w:r>
          </w:p>
        </w:tc>
        <w:tc>
          <w:tcPr>
            <w:tcW w:w="722" w:type="pct"/>
            <w:shd w:val="clear" w:color="000000" w:fill="FFFFFF"/>
            <w:vAlign w:val="center"/>
            <w:hideMark/>
          </w:tcPr>
          <w:p w14:paraId="192EA352"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w:t>
            </w:r>
          </w:p>
        </w:tc>
        <w:tc>
          <w:tcPr>
            <w:tcW w:w="2192" w:type="pct"/>
            <w:gridSpan w:val="2"/>
            <w:shd w:val="clear" w:color="auto" w:fill="auto"/>
            <w:hideMark/>
          </w:tcPr>
          <w:p w14:paraId="2D3C41C1"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Se reporta recaudo de cartera por Recuperación de Inversiones, por un valor de $13.758.407. El reporte se hace mes vencido.</w:t>
            </w:r>
          </w:p>
        </w:tc>
      </w:tr>
      <w:tr w:rsidR="00962B1E" w:rsidRPr="00962B1E" w14:paraId="6662CEF7" w14:textId="77777777" w:rsidTr="008E0E70">
        <w:trPr>
          <w:trHeight w:val="1785"/>
        </w:trPr>
        <w:tc>
          <w:tcPr>
            <w:tcW w:w="1683" w:type="pct"/>
            <w:shd w:val="clear" w:color="auto" w:fill="auto"/>
            <w:hideMark/>
          </w:tcPr>
          <w:p w14:paraId="28EE3E96"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Resoluciones de Presupuesto de administración, operación y conservación Distritos de Propiedad Estado expedidas</w:t>
            </w:r>
          </w:p>
        </w:tc>
        <w:tc>
          <w:tcPr>
            <w:tcW w:w="402" w:type="pct"/>
            <w:shd w:val="clear" w:color="000000" w:fill="FFFFFF"/>
            <w:vAlign w:val="center"/>
            <w:hideMark/>
          </w:tcPr>
          <w:p w14:paraId="56E3C580"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12</w:t>
            </w:r>
          </w:p>
        </w:tc>
        <w:tc>
          <w:tcPr>
            <w:tcW w:w="722" w:type="pct"/>
            <w:shd w:val="clear" w:color="000000" w:fill="FFFFFF"/>
            <w:vAlign w:val="center"/>
            <w:hideMark/>
          </w:tcPr>
          <w:p w14:paraId="7B1CA480"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0%</w:t>
            </w:r>
          </w:p>
        </w:tc>
        <w:tc>
          <w:tcPr>
            <w:tcW w:w="2192" w:type="pct"/>
            <w:gridSpan w:val="2"/>
            <w:shd w:val="clear" w:color="auto" w:fill="auto"/>
            <w:hideMark/>
          </w:tcPr>
          <w:p w14:paraId="14DFBD03"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Las resoluciones de presupuesto de la vigencia 2020, para los distritos administrados directamente por la Agencia se expiden hacia el mes de mayo y para los distritos administrados por las asociaciones de usuarios, se expiden en Diciembre del año anterior, teniendo en cuenta la ejecución de sus presupuestos.</w:t>
            </w:r>
          </w:p>
        </w:tc>
      </w:tr>
      <w:tr w:rsidR="00962B1E" w:rsidRPr="00962B1E" w14:paraId="47E9CCC1" w14:textId="77777777" w:rsidTr="008E0E70">
        <w:trPr>
          <w:trHeight w:val="1995"/>
        </w:trPr>
        <w:tc>
          <w:tcPr>
            <w:tcW w:w="1683" w:type="pct"/>
            <w:shd w:val="clear" w:color="auto" w:fill="auto"/>
            <w:hideMark/>
          </w:tcPr>
          <w:p w14:paraId="77AAC061" w14:textId="77777777" w:rsidR="00962B1E" w:rsidRPr="00962B1E" w:rsidRDefault="00962B1E" w:rsidP="00962B1E">
            <w:pPr>
              <w:spacing w:line="240" w:lineRule="auto"/>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Trámites legales de asociaciones de usuarios realizados  </w:t>
            </w:r>
          </w:p>
        </w:tc>
        <w:tc>
          <w:tcPr>
            <w:tcW w:w="402" w:type="pct"/>
            <w:shd w:val="clear" w:color="000000" w:fill="FFFFFF"/>
            <w:vAlign w:val="center"/>
            <w:hideMark/>
          </w:tcPr>
          <w:p w14:paraId="6CA34398"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250</w:t>
            </w:r>
          </w:p>
        </w:tc>
        <w:tc>
          <w:tcPr>
            <w:tcW w:w="722" w:type="pct"/>
            <w:shd w:val="clear" w:color="000000" w:fill="FFFFFF"/>
            <w:vAlign w:val="center"/>
            <w:hideMark/>
          </w:tcPr>
          <w:p w14:paraId="4E650FE2" w14:textId="77777777" w:rsidR="00962B1E" w:rsidRPr="00962B1E" w:rsidRDefault="00962B1E" w:rsidP="00962B1E">
            <w:pPr>
              <w:spacing w:line="240" w:lineRule="auto"/>
              <w:jc w:val="center"/>
              <w:rPr>
                <w:rFonts w:ascii="Arial" w:eastAsia="Times New Roman" w:hAnsi="Arial" w:cs="Arial"/>
                <w:color w:val="333333"/>
                <w:sz w:val="20"/>
                <w:szCs w:val="20"/>
                <w:lang w:eastAsia="es-CO"/>
              </w:rPr>
            </w:pPr>
            <w:r w:rsidRPr="00962B1E">
              <w:rPr>
                <w:rFonts w:ascii="Arial" w:eastAsia="Times New Roman" w:hAnsi="Arial" w:cs="Arial"/>
                <w:color w:val="333333"/>
                <w:sz w:val="20"/>
                <w:szCs w:val="20"/>
                <w:lang w:eastAsia="es-CO"/>
              </w:rPr>
              <w:t>23%</w:t>
            </w:r>
          </w:p>
        </w:tc>
        <w:tc>
          <w:tcPr>
            <w:tcW w:w="2192" w:type="pct"/>
            <w:gridSpan w:val="2"/>
            <w:shd w:val="clear" w:color="auto" w:fill="auto"/>
            <w:hideMark/>
          </w:tcPr>
          <w:p w14:paraId="161F4013" w14:textId="77777777" w:rsidR="00962B1E" w:rsidRPr="00962B1E" w:rsidRDefault="00962B1E" w:rsidP="00962B1E">
            <w:pPr>
              <w:spacing w:line="240" w:lineRule="auto"/>
              <w:jc w:val="both"/>
              <w:rPr>
                <w:rFonts w:ascii="Arial" w:eastAsia="Times New Roman" w:hAnsi="Arial" w:cs="Arial"/>
                <w:color w:val="000000"/>
                <w:sz w:val="20"/>
                <w:szCs w:val="20"/>
                <w:lang w:eastAsia="es-CO"/>
              </w:rPr>
            </w:pPr>
            <w:r w:rsidRPr="00962B1E">
              <w:rPr>
                <w:rFonts w:ascii="Arial" w:eastAsia="Times New Roman" w:hAnsi="Arial" w:cs="Arial"/>
                <w:color w:val="000000"/>
                <w:sz w:val="20"/>
                <w:szCs w:val="20"/>
                <w:lang w:eastAsia="es-CO"/>
              </w:rPr>
              <w:t>Trámites de conformación y legalización de las asociaciones de usuarios: viabilidad personería jurídica, certificaciones de existencia y representación legal y reforma de estatutos de asociaciones de usuarios de proyectos y distritos de adecuación de tierras gestionadas en el mes de marzo de 2020. Igualmente, respuestas a otras solicitudes realizadas por las asociaciones de usuarios de distritos de adecuación de tierras.</w:t>
            </w:r>
          </w:p>
        </w:tc>
      </w:tr>
    </w:tbl>
    <w:p w14:paraId="6DF06E9E" w14:textId="77777777" w:rsidR="00962B1E" w:rsidRPr="00CA4EA1" w:rsidRDefault="00962B1E" w:rsidP="00962B1E">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Enero – marzo 2020.</w:t>
      </w:r>
    </w:p>
    <w:p w14:paraId="00CDE38D" w14:textId="77777777" w:rsidR="00C00B37" w:rsidRDefault="00C00B37" w:rsidP="008372FC">
      <w:pPr>
        <w:autoSpaceDE w:val="0"/>
        <w:autoSpaceDN w:val="0"/>
        <w:adjustRightInd w:val="0"/>
        <w:spacing w:line="240" w:lineRule="auto"/>
        <w:jc w:val="both"/>
        <w:rPr>
          <w:rFonts w:ascii="Arial" w:hAnsi="Arial" w:cs="Arial"/>
          <w:color w:val="70AD47" w:themeColor="accent6"/>
          <w:sz w:val="24"/>
          <w:szCs w:val="24"/>
        </w:rPr>
      </w:pPr>
    </w:p>
    <w:p w14:paraId="0EFDAE39" w14:textId="7897ACC5" w:rsidR="00392BB2" w:rsidRDefault="00392BB2" w:rsidP="00675A5E">
      <w:pPr>
        <w:autoSpaceDE w:val="0"/>
        <w:autoSpaceDN w:val="0"/>
        <w:adjustRightInd w:val="0"/>
        <w:spacing w:line="240" w:lineRule="auto"/>
        <w:rPr>
          <w:rFonts w:ascii="Arial" w:hAnsi="Arial" w:cs="Arial"/>
          <w:color w:val="70AD47" w:themeColor="accent6"/>
          <w:sz w:val="24"/>
          <w:szCs w:val="24"/>
        </w:rPr>
      </w:pPr>
      <w:r w:rsidRPr="00675A5E">
        <w:rPr>
          <w:rFonts w:ascii="Arial" w:hAnsi="Arial" w:cs="Arial"/>
          <w:color w:val="70AD47" w:themeColor="accent6"/>
          <w:sz w:val="24"/>
          <w:szCs w:val="24"/>
        </w:rPr>
        <w:t>Línea Estratégica 3: Fortalecimiento de capacidades institucionales</w:t>
      </w:r>
    </w:p>
    <w:p w14:paraId="5D22BF94" w14:textId="77777777" w:rsidR="00FF79FA" w:rsidRDefault="00FF79FA" w:rsidP="00675A5E">
      <w:pPr>
        <w:autoSpaceDE w:val="0"/>
        <w:autoSpaceDN w:val="0"/>
        <w:adjustRightInd w:val="0"/>
        <w:spacing w:line="240" w:lineRule="auto"/>
        <w:rPr>
          <w:rFonts w:ascii="Arial" w:hAnsi="Arial" w:cs="Arial"/>
          <w:color w:val="70AD47" w:themeColor="accent6"/>
          <w:sz w:val="24"/>
          <w:szCs w:val="24"/>
        </w:rPr>
      </w:pPr>
    </w:p>
    <w:p w14:paraId="191C6DD4" w14:textId="480EBC71" w:rsidR="00FF79FA" w:rsidRDefault="00FF79FA" w:rsidP="00675A5E">
      <w:pPr>
        <w:autoSpaceDE w:val="0"/>
        <w:autoSpaceDN w:val="0"/>
        <w:adjustRightInd w:val="0"/>
        <w:spacing w:line="240" w:lineRule="auto"/>
        <w:rPr>
          <w:rFonts w:ascii="Arial" w:hAnsi="Arial" w:cs="Arial"/>
          <w:sz w:val="24"/>
          <w:szCs w:val="24"/>
        </w:rPr>
      </w:pPr>
      <w:r>
        <w:rPr>
          <w:rFonts w:ascii="Arial" w:hAnsi="Arial" w:cs="Arial"/>
          <w:sz w:val="24"/>
          <w:szCs w:val="24"/>
        </w:rPr>
        <w:t xml:space="preserve">La última Línea Estratégica </w:t>
      </w:r>
      <w:r w:rsidRPr="00FF79FA">
        <w:rPr>
          <w:rFonts w:ascii="Arial" w:hAnsi="Arial" w:cs="Arial"/>
          <w:sz w:val="24"/>
          <w:szCs w:val="24"/>
        </w:rPr>
        <w:t>está relacionada principalmente co</w:t>
      </w:r>
      <w:r w:rsidR="000C63A9">
        <w:rPr>
          <w:rFonts w:ascii="Arial" w:hAnsi="Arial" w:cs="Arial"/>
          <w:sz w:val="24"/>
          <w:szCs w:val="24"/>
        </w:rPr>
        <w:t xml:space="preserve">n temas del Modelo Integrado de </w:t>
      </w:r>
      <w:r w:rsidRPr="00FF79FA">
        <w:rPr>
          <w:rFonts w:ascii="Arial" w:hAnsi="Arial" w:cs="Arial"/>
          <w:sz w:val="24"/>
          <w:szCs w:val="24"/>
        </w:rPr>
        <w:t>Planeación</w:t>
      </w:r>
      <w:r w:rsidR="000C63A9">
        <w:rPr>
          <w:rFonts w:ascii="Arial" w:hAnsi="Arial" w:cs="Arial"/>
          <w:sz w:val="24"/>
          <w:szCs w:val="24"/>
        </w:rPr>
        <w:t xml:space="preserve"> y Gestión</w:t>
      </w:r>
      <w:r w:rsidRPr="00FF79FA">
        <w:rPr>
          <w:rFonts w:ascii="Arial" w:hAnsi="Arial" w:cs="Arial"/>
          <w:sz w:val="24"/>
          <w:szCs w:val="24"/>
        </w:rPr>
        <w:t>, tal y como se detalla a continuación:</w:t>
      </w:r>
    </w:p>
    <w:p w14:paraId="5AF1398E" w14:textId="77777777" w:rsidR="00697EAC" w:rsidRDefault="00697EAC" w:rsidP="00675A5E">
      <w:pPr>
        <w:autoSpaceDE w:val="0"/>
        <w:autoSpaceDN w:val="0"/>
        <w:adjustRightInd w:val="0"/>
        <w:spacing w:line="240" w:lineRule="auto"/>
        <w:rPr>
          <w:rFonts w:ascii="Arial" w:hAnsi="Arial" w:cs="Arial"/>
          <w:sz w:val="24"/>
          <w:szCs w:val="24"/>
        </w:rPr>
      </w:pPr>
    </w:p>
    <w:p w14:paraId="7339E076" w14:textId="77777777" w:rsidR="00697EAC" w:rsidRDefault="00697EAC" w:rsidP="00675A5E">
      <w:pPr>
        <w:autoSpaceDE w:val="0"/>
        <w:autoSpaceDN w:val="0"/>
        <w:adjustRightInd w:val="0"/>
        <w:spacing w:line="240" w:lineRule="auto"/>
        <w:rPr>
          <w:rFonts w:ascii="Arial" w:hAnsi="Arial" w:cs="Arial"/>
          <w:sz w:val="24"/>
          <w:szCs w:val="24"/>
        </w:rPr>
      </w:pPr>
    </w:p>
    <w:p w14:paraId="0E6513F1" w14:textId="77777777" w:rsidR="00697EAC" w:rsidRDefault="00697EAC" w:rsidP="00675A5E">
      <w:pPr>
        <w:autoSpaceDE w:val="0"/>
        <w:autoSpaceDN w:val="0"/>
        <w:adjustRightInd w:val="0"/>
        <w:spacing w:line="240" w:lineRule="auto"/>
        <w:rPr>
          <w:rFonts w:ascii="Arial" w:hAnsi="Arial" w:cs="Arial"/>
          <w:sz w:val="24"/>
          <w:szCs w:val="24"/>
        </w:rPr>
      </w:pPr>
    </w:p>
    <w:p w14:paraId="56BACECE" w14:textId="77777777" w:rsidR="00697EAC" w:rsidRPr="00FF79FA" w:rsidRDefault="00697EAC" w:rsidP="00675A5E">
      <w:pPr>
        <w:autoSpaceDE w:val="0"/>
        <w:autoSpaceDN w:val="0"/>
        <w:adjustRightInd w:val="0"/>
        <w:spacing w:line="240" w:lineRule="auto"/>
        <w:rPr>
          <w:rFonts w:ascii="Arial" w:hAnsi="Arial" w:cs="Arial"/>
          <w:color w:val="70AD47" w:themeColor="accent6"/>
          <w:sz w:val="24"/>
          <w:szCs w:val="24"/>
        </w:rPr>
      </w:pPr>
    </w:p>
    <w:p w14:paraId="474BB1B3" w14:textId="77777777" w:rsidR="00675A5E" w:rsidRDefault="00675A5E" w:rsidP="00675A5E">
      <w:pPr>
        <w:autoSpaceDE w:val="0"/>
        <w:autoSpaceDN w:val="0"/>
        <w:adjustRightInd w:val="0"/>
        <w:spacing w:line="240" w:lineRule="auto"/>
        <w:rPr>
          <w:rFonts w:ascii="Arial" w:hAnsi="Arial" w:cs="Arial"/>
          <w:color w:val="70AD47" w:themeColor="accent6"/>
          <w:sz w:val="24"/>
          <w:szCs w:val="24"/>
        </w:rPr>
      </w:pPr>
    </w:p>
    <w:p w14:paraId="246B32DE" w14:textId="19C7D5A7" w:rsidR="00CD0D66" w:rsidRDefault="00675A5E" w:rsidP="00675A5E">
      <w:pPr>
        <w:jc w:val="center"/>
        <w:rPr>
          <w:rFonts w:ascii="Arial" w:eastAsia="Calibri" w:hAnsi="Arial" w:cs="Arial"/>
          <w:b/>
          <w:sz w:val="24"/>
          <w:szCs w:val="24"/>
        </w:rPr>
      </w:pPr>
      <w:r>
        <w:rPr>
          <w:rFonts w:ascii="Arial" w:eastAsia="Calibri" w:hAnsi="Arial" w:cs="Arial"/>
          <w:b/>
          <w:sz w:val="24"/>
          <w:szCs w:val="24"/>
        </w:rPr>
        <w:lastRenderedPageBreak/>
        <w:t>Tabla 5. Avances indicadores Objetivo Estratégico 4</w:t>
      </w:r>
    </w:p>
    <w:tbl>
      <w:tblPr>
        <w:tblW w:w="5000" w:type="pct"/>
        <w:tblLayout w:type="fixed"/>
        <w:tblCellMar>
          <w:left w:w="70" w:type="dxa"/>
          <w:right w:w="70" w:type="dxa"/>
        </w:tblCellMar>
        <w:tblLook w:val="04A0" w:firstRow="1" w:lastRow="0" w:firstColumn="1" w:lastColumn="0" w:noHBand="0" w:noVBand="1"/>
      </w:tblPr>
      <w:tblGrid>
        <w:gridCol w:w="2687"/>
        <w:gridCol w:w="851"/>
        <w:gridCol w:w="1277"/>
        <w:gridCol w:w="3404"/>
        <w:gridCol w:w="609"/>
      </w:tblGrid>
      <w:tr w:rsidR="008E0E70" w:rsidRPr="008E0E70" w14:paraId="0B978EC0" w14:textId="77777777" w:rsidTr="008E0E70">
        <w:trPr>
          <w:trHeight w:val="765"/>
          <w:tblHeader/>
        </w:trPr>
        <w:tc>
          <w:tcPr>
            <w:tcW w:w="5000" w:type="pct"/>
            <w:gridSpan w:val="5"/>
            <w:tcBorders>
              <w:top w:val="single" w:sz="4" w:space="0" w:color="auto"/>
              <w:left w:val="single" w:sz="4" w:space="0" w:color="auto"/>
              <w:bottom w:val="single" w:sz="4" w:space="0" w:color="auto"/>
              <w:right w:val="single" w:sz="4" w:space="0" w:color="auto"/>
            </w:tcBorders>
            <w:shd w:val="clear" w:color="000000" w:fill="70AD47"/>
            <w:vAlign w:val="center"/>
            <w:hideMark/>
          </w:tcPr>
          <w:p w14:paraId="3A312CFC" w14:textId="77777777" w:rsidR="008E0E70" w:rsidRPr="008E0E70" w:rsidRDefault="008E0E70" w:rsidP="008E0E70">
            <w:pPr>
              <w:spacing w:line="240" w:lineRule="auto"/>
              <w:rPr>
                <w:rFonts w:ascii="Arial" w:eastAsia="Times New Roman" w:hAnsi="Arial" w:cs="Arial"/>
                <w:b/>
                <w:bCs/>
                <w:color w:val="FFFFFF"/>
                <w:sz w:val="20"/>
                <w:szCs w:val="20"/>
                <w:lang w:eastAsia="es-CO"/>
              </w:rPr>
            </w:pPr>
            <w:r w:rsidRPr="008E0E70">
              <w:rPr>
                <w:rFonts w:ascii="Arial" w:eastAsia="Times New Roman" w:hAnsi="Arial" w:cs="Arial"/>
                <w:b/>
                <w:bCs/>
                <w:color w:val="FFFFFF"/>
                <w:sz w:val="20"/>
                <w:szCs w:val="20"/>
                <w:lang w:eastAsia="es-CO"/>
              </w:rPr>
              <w:t>4. Consolidar el modelo de gestión para optimizar el desempeño institucional, la articulación interinstitucional y el uso de los recursos físicos, financieros, tecnológicos y humanos.</w:t>
            </w:r>
          </w:p>
        </w:tc>
      </w:tr>
      <w:tr w:rsidR="008E0E70" w:rsidRPr="008E0E70" w14:paraId="492DDCFB" w14:textId="77777777" w:rsidTr="008E0E70">
        <w:trPr>
          <w:trHeight w:val="765"/>
          <w:tblHeader/>
        </w:trPr>
        <w:tc>
          <w:tcPr>
            <w:tcW w:w="1522" w:type="pct"/>
            <w:tcBorders>
              <w:top w:val="nil"/>
              <w:left w:val="single" w:sz="4" w:space="0" w:color="auto"/>
              <w:bottom w:val="single" w:sz="4" w:space="0" w:color="auto"/>
              <w:right w:val="single" w:sz="4" w:space="0" w:color="auto"/>
            </w:tcBorders>
            <w:shd w:val="clear" w:color="000000" w:fill="70AD47"/>
            <w:noWrap/>
            <w:vAlign w:val="center"/>
            <w:hideMark/>
          </w:tcPr>
          <w:p w14:paraId="504C0F00" w14:textId="77777777" w:rsidR="008E0E70" w:rsidRPr="008E0E70" w:rsidRDefault="008E0E70" w:rsidP="008E0E70">
            <w:pPr>
              <w:spacing w:line="240" w:lineRule="auto"/>
              <w:jc w:val="center"/>
              <w:rPr>
                <w:rFonts w:ascii="Arial" w:eastAsia="Times New Roman" w:hAnsi="Arial" w:cs="Arial"/>
                <w:b/>
                <w:bCs/>
                <w:color w:val="FFFFFF"/>
                <w:sz w:val="20"/>
                <w:szCs w:val="20"/>
                <w:lang w:eastAsia="es-CO"/>
              </w:rPr>
            </w:pPr>
            <w:r w:rsidRPr="008E0E70">
              <w:rPr>
                <w:rFonts w:ascii="Arial" w:eastAsia="Times New Roman" w:hAnsi="Arial" w:cs="Arial"/>
                <w:b/>
                <w:bCs/>
                <w:color w:val="FFFFFF"/>
                <w:sz w:val="20"/>
                <w:szCs w:val="20"/>
                <w:lang w:eastAsia="es-CO"/>
              </w:rPr>
              <w:t>Indicador</w:t>
            </w:r>
          </w:p>
        </w:tc>
        <w:tc>
          <w:tcPr>
            <w:tcW w:w="482" w:type="pct"/>
            <w:tcBorders>
              <w:top w:val="nil"/>
              <w:left w:val="nil"/>
              <w:bottom w:val="single" w:sz="4" w:space="0" w:color="auto"/>
              <w:right w:val="single" w:sz="4" w:space="0" w:color="auto"/>
            </w:tcBorders>
            <w:shd w:val="clear" w:color="000000" w:fill="70AD47"/>
            <w:noWrap/>
            <w:vAlign w:val="center"/>
            <w:hideMark/>
          </w:tcPr>
          <w:p w14:paraId="10E85622" w14:textId="77777777" w:rsidR="008E0E70" w:rsidRPr="008E0E70" w:rsidRDefault="008E0E70" w:rsidP="008E0E70">
            <w:pPr>
              <w:spacing w:line="240" w:lineRule="auto"/>
              <w:jc w:val="center"/>
              <w:rPr>
                <w:rFonts w:ascii="Arial" w:eastAsia="Times New Roman" w:hAnsi="Arial" w:cs="Arial"/>
                <w:b/>
                <w:bCs/>
                <w:color w:val="FFFFFF"/>
                <w:sz w:val="20"/>
                <w:szCs w:val="20"/>
                <w:lang w:eastAsia="es-CO"/>
              </w:rPr>
            </w:pPr>
            <w:r w:rsidRPr="008E0E70">
              <w:rPr>
                <w:rFonts w:ascii="Arial" w:eastAsia="Times New Roman" w:hAnsi="Arial" w:cs="Arial"/>
                <w:b/>
                <w:bCs/>
                <w:color w:val="FFFFFF"/>
                <w:sz w:val="20"/>
                <w:szCs w:val="20"/>
                <w:lang w:eastAsia="es-CO"/>
              </w:rPr>
              <w:t>Meta</w:t>
            </w:r>
          </w:p>
        </w:tc>
        <w:tc>
          <w:tcPr>
            <w:tcW w:w="723" w:type="pct"/>
            <w:tcBorders>
              <w:top w:val="nil"/>
              <w:left w:val="nil"/>
              <w:bottom w:val="single" w:sz="4" w:space="0" w:color="auto"/>
              <w:right w:val="single" w:sz="4" w:space="0" w:color="auto"/>
            </w:tcBorders>
            <w:shd w:val="clear" w:color="000000" w:fill="70AD47"/>
            <w:vAlign w:val="center"/>
            <w:hideMark/>
          </w:tcPr>
          <w:p w14:paraId="3C3D15BE" w14:textId="77777777" w:rsidR="008E0E70" w:rsidRPr="008E0E70" w:rsidRDefault="008E0E70" w:rsidP="008E0E70">
            <w:pPr>
              <w:spacing w:line="240" w:lineRule="auto"/>
              <w:jc w:val="center"/>
              <w:rPr>
                <w:rFonts w:ascii="Arial" w:eastAsia="Times New Roman" w:hAnsi="Arial" w:cs="Arial"/>
                <w:b/>
                <w:bCs/>
                <w:color w:val="FFFFFF"/>
                <w:sz w:val="20"/>
                <w:szCs w:val="20"/>
                <w:lang w:eastAsia="es-CO"/>
              </w:rPr>
            </w:pPr>
            <w:r w:rsidRPr="008E0E70">
              <w:rPr>
                <w:rFonts w:ascii="Arial" w:eastAsia="Times New Roman" w:hAnsi="Arial" w:cs="Arial"/>
                <w:b/>
                <w:bCs/>
                <w:color w:val="FFFFFF"/>
                <w:sz w:val="20"/>
                <w:szCs w:val="20"/>
                <w:lang w:eastAsia="es-CO"/>
              </w:rPr>
              <w:t>%Avance cuantitativo</w:t>
            </w:r>
          </w:p>
        </w:tc>
        <w:tc>
          <w:tcPr>
            <w:tcW w:w="1928" w:type="pct"/>
            <w:tcBorders>
              <w:top w:val="nil"/>
              <w:left w:val="nil"/>
              <w:bottom w:val="single" w:sz="4" w:space="0" w:color="auto"/>
              <w:right w:val="single" w:sz="4" w:space="0" w:color="auto"/>
            </w:tcBorders>
            <w:shd w:val="clear" w:color="000000" w:fill="70AD47"/>
            <w:noWrap/>
            <w:vAlign w:val="center"/>
            <w:hideMark/>
          </w:tcPr>
          <w:p w14:paraId="0E77E721" w14:textId="77777777" w:rsidR="008E0E70" w:rsidRPr="008E0E70" w:rsidRDefault="008E0E70" w:rsidP="008E0E70">
            <w:pPr>
              <w:spacing w:line="240" w:lineRule="auto"/>
              <w:jc w:val="center"/>
              <w:rPr>
                <w:rFonts w:ascii="Arial" w:eastAsia="Times New Roman" w:hAnsi="Arial" w:cs="Arial"/>
                <w:b/>
                <w:bCs/>
                <w:color w:val="FFFFFF"/>
                <w:sz w:val="20"/>
                <w:szCs w:val="20"/>
                <w:lang w:eastAsia="es-CO"/>
              </w:rPr>
            </w:pPr>
            <w:r w:rsidRPr="008E0E70">
              <w:rPr>
                <w:rFonts w:ascii="Arial" w:eastAsia="Times New Roman" w:hAnsi="Arial" w:cs="Arial"/>
                <w:b/>
                <w:bCs/>
                <w:color w:val="FFFFFF"/>
                <w:sz w:val="20"/>
                <w:szCs w:val="20"/>
                <w:lang w:eastAsia="es-CO"/>
              </w:rPr>
              <w:t>Avance Cualitativo</w:t>
            </w:r>
          </w:p>
        </w:tc>
        <w:tc>
          <w:tcPr>
            <w:tcW w:w="345" w:type="pct"/>
            <w:tcBorders>
              <w:top w:val="nil"/>
              <w:left w:val="nil"/>
              <w:bottom w:val="single" w:sz="4" w:space="0" w:color="auto"/>
              <w:right w:val="single" w:sz="4" w:space="0" w:color="auto"/>
            </w:tcBorders>
            <w:shd w:val="clear" w:color="000000" w:fill="70AD47"/>
            <w:noWrap/>
            <w:vAlign w:val="center"/>
            <w:hideMark/>
          </w:tcPr>
          <w:p w14:paraId="28EA8CF2" w14:textId="77777777" w:rsidR="008E0E70" w:rsidRPr="008E0E70" w:rsidRDefault="008E0E70" w:rsidP="008E0E70">
            <w:pPr>
              <w:spacing w:line="240" w:lineRule="auto"/>
              <w:jc w:val="center"/>
              <w:rPr>
                <w:rFonts w:ascii="Arial" w:eastAsia="Times New Roman" w:hAnsi="Arial" w:cs="Arial"/>
                <w:b/>
                <w:bCs/>
                <w:color w:val="FFFFFF"/>
                <w:sz w:val="20"/>
                <w:szCs w:val="20"/>
                <w:lang w:eastAsia="es-CO"/>
              </w:rPr>
            </w:pPr>
            <w:r w:rsidRPr="008E0E70">
              <w:rPr>
                <w:rFonts w:ascii="Arial" w:eastAsia="Times New Roman" w:hAnsi="Arial" w:cs="Arial"/>
                <w:b/>
                <w:bCs/>
                <w:color w:val="FFFFFF"/>
                <w:sz w:val="20"/>
                <w:szCs w:val="20"/>
                <w:lang w:eastAsia="es-CO"/>
              </w:rPr>
              <w:t>34%</w:t>
            </w:r>
          </w:p>
        </w:tc>
      </w:tr>
      <w:tr w:rsidR="008E0E70" w:rsidRPr="008E0E70" w14:paraId="7768D65E" w14:textId="77777777" w:rsidTr="008E0E70">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7F836471"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Documentos de planeación elaborados</w:t>
            </w:r>
          </w:p>
        </w:tc>
        <w:tc>
          <w:tcPr>
            <w:tcW w:w="482" w:type="pct"/>
            <w:tcBorders>
              <w:top w:val="nil"/>
              <w:left w:val="nil"/>
              <w:bottom w:val="single" w:sz="4" w:space="0" w:color="auto"/>
              <w:right w:val="single" w:sz="4" w:space="0" w:color="auto"/>
            </w:tcBorders>
            <w:shd w:val="clear" w:color="auto" w:fill="auto"/>
            <w:vAlign w:val="center"/>
            <w:hideMark/>
          </w:tcPr>
          <w:p w14:paraId="6EB14C64"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4</w:t>
            </w:r>
          </w:p>
        </w:tc>
        <w:tc>
          <w:tcPr>
            <w:tcW w:w="723" w:type="pct"/>
            <w:tcBorders>
              <w:top w:val="nil"/>
              <w:left w:val="nil"/>
              <w:bottom w:val="single" w:sz="4" w:space="0" w:color="auto"/>
              <w:right w:val="single" w:sz="4" w:space="0" w:color="auto"/>
            </w:tcBorders>
            <w:shd w:val="clear" w:color="auto" w:fill="auto"/>
            <w:vAlign w:val="center"/>
            <w:hideMark/>
          </w:tcPr>
          <w:p w14:paraId="22CC9696"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50%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1DB9AE85"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elaboró y publicó el Plan Anticorrupción y de Atención al Ciudadano de la ADR para la vigencia 2020, así mismo, se elaboró el Plan de Acción Institucional que fue aprobado en el mes de marzo por el Consejo Directivo</w:t>
            </w:r>
          </w:p>
        </w:tc>
      </w:tr>
      <w:tr w:rsidR="008E0E70" w:rsidRPr="008E0E70" w14:paraId="429428EB" w14:textId="77777777" w:rsidTr="008E0E70">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0BF4BAE1"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Porcentaje sistema de gestión implementado</w:t>
            </w:r>
          </w:p>
        </w:tc>
        <w:tc>
          <w:tcPr>
            <w:tcW w:w="482" w:type="pct"/>
            <w:tcBorders>
              <w:top w:val="nil"/>
              <w:left w:val="nil"/>
              <w:bottom w:val="single" w:sz="4" w:space="0" w:color="auto"/>
              <w:right w:val="single" w:sz="4" w:space="0" w:color="auto"/>
            </w:tcBorders>
            <w:shd w:val="clear" w:color="auto" w:fill="auto"/>
            <w:vAlign w:val="center"/>
            <w:hideMark/>
          </w:tcPr>
          <w:p w14:paraId="46B1FE6A"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25%</w:t>
            </w:r>
          </w:p>
        </w:tc>
        <w:tc>
          <w:tcPr>
            <w:tcW w:w="723" w:type="pct"/>
            <w:tcBorders>
              <w:top w:val="nil"/>
              <w:left w:val="nil"/>
              <w:bottom w:val="single" w:sz="4" w:space="0" w:color="auto"/>
              <w:right w:val="single" w:sz="4" w:space="0" w:color="auto"/>
            </w:tcBorders>
            <w:shd w:val="clear" w:color="auto" w:fill="auto"/>
            <w:vAlign w:val="center"/>
            <w:hideMark/>
          </w:tcPr>
          <w:p w14:paraId="3579F696"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4%</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22F5964F"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Durante el mes de enero se elaboraron y aprobaron los planes anticorrupción, estratégico de talento humano, de bienestar e incentivos, capacitación, el plan de adquisiciones y se llevó a cabo la desagregación presupuestal y el cierre financiero de la vigencia 2019 y se elaboraron los informes relacionados con el cierre de la vigencia 2020. Durante febrero se realizó el cierre de cinco auditorias de seguimiento, se continuó con la gestión presupuestal y contable de la ADR. Se inició la actualización de los procesos relacionados con los PIDAR en cumplimiento del Acuerdo 10 de 2019. Se realizó socialización del PAAC y mapas de riesgos e iniciaron las acciones de bienestar y capacitación. Durante el mes de marzo se completó el diligenciamiento del FURAG, continuaron las mesas de trabajo para actualización de procesos, se realizó capacitación en mejora continua, se realizaron las piezas y espacios de comunicación solicitados por las diferencias dependencias a la Oficina de Comunicaciones. Continúa la gestión presupuestal contable y se estructuró el anteproyecto de presupuesto de funcionamiento.</w:t>
            </w:r>
          </w:p>
        </w:tc>
      </w:tr>
      <w:tr w:rsidR="008E0E70" w:rsidRPr="008E0E70" w14:paraId="488EC8C7" w14:textId="77777777" w:rsidTr="008E0E70">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48F29F81"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Banco de Proyectos actualizado</w:t>
            </w:r>
          </w:p>
        </w:tc>
        <w:tc>
          <w:tcPr>
            <w:tcW w:w="482" w:type="pct"/>
            <w:tcBorders>
              <w:top w:val="nil"/>
              <w:left w:val="nil"/>
              <w:bottom w:val="single" w:sz="4" w:space="0" w:color="auto"/>
              <w:right w:val="single" w:sz="4" w:space="0" w:color="auto"/>
            </w:tcBorders>
            <w:shd w:val="clear" w:color="auto" w:fill="auto"/>
            <w:vAlign w:val="center"/>
            <w:hideMark/>
          </w:tcPr>
          <w:p w14:paraId="1EDDF36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43D07517"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8%</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2F28BAB0"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Se participó en mesas de trabajo con la Oficina de Planeación, la Vicepresidencia de Proyectos y la Vicepresidencia de Integración Productiva para ajustar a los procedimientos relacionados con la inscripción de iniciativas de los PIDAR a la luz del nuevo Reglamento que entró en vigencia en 1 de enero, se participó en mesas de trabajo con la Dirección de Seguimiento y Control para definir los </w:t>
            </w:r>
            <w:r w:rsidRPr="008E0E70">
              <w:rPr>
                <w:rFonts w:ascii="Arial" w:eastAsia="Times New Roman" w:hAnsi="Arial" w:cs="Arial"/>
                <w:color w:val="000000"/>
                <w:sz w:val="20"/>
                <w:szCs w:val="20"/>
                <w:lang w:eastAsia="es-CO"/>
              </w:rPr>
              <w:lastRenderedPageBreak/>
              <w:t>requerimientos del módulo de seguimiento y la elaboración de los términos de referencia para la contratación del desarrollo correspondiente, se obtuvo la primera versión del documento de requerimientos.</w:t>
            </w:r>
          </w:p>
        </w:tc>
      </w:tr>
      <w:tr w:rsidR="008E0E70" w:rsidRPr="008E0E70" w14:paraId="1F7C4BFB" w14:textId="77777777" w:rsidTr="008E0E70">
        <w:trPr>
          <w:trHeight w:val="1020"/>
        </w:trPr>
        <w:tc>
          <w:tcPr>
            <w:tcW w:w="1522" w:type="pct"/>
            <w:tcBorders>
              <w:top w:val="nil"/>
              <w:left w:val="single" w:sz="4" w:space="0" w:color="auto"/>
              <w:bottom w:val="single" w:sz="4" w:space="0" w:color="auto"/>
              <w:right w:val="single" w:sz="4" w:space="0" w:color="auto"/>
            </w:tcBorders>
            <w:shd w:val="clear" w:color="auto" w:fill="auto"/>
            <w:hideMark/>
          </w:tcPr>
          <w:p w14:paraId="28B96824"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lastRenderedPageBreak/>
              <w:t>Documentos para la planeación estratégica actualizados</w:t>
            </w:r>
          </w:p>
        </w:tc>
        <w:tc>
          <w:tcPr>
            <w:tcW w:w="482" w:type="pct"/>
            <w:tcBorders>
              <w:top w:val="nil"/>
              <w:left w:val="nil"/>
              <w:bottom w:val="single" w:sz="4" w:space="0" w:color="auto"/>
              <w:right w:val="single" w:sz="4" w:space="0" w:color="auto"/>
            </w:tcBorders>
            <w:shd w:val="clear" w:color="auto" w:fill="auto"/>
            <w:vAlign w:val="center"/>
            <w:hideMark/>
          </w:tcPr>
          <w:p w14:paraId="6BDCEB7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15432661"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4C241667"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realizaron actividades referentes al levantamiento de los flujos de información de la entidad. Se realizaron actividades de la caracterización del proceso de operación tecnológica en la ADR y sus respectivos procedimientos al interior de la Oficina de Tecnologías de la Información, con el apoyo de la Oficina de Planeación ADR. Se apoyó con la oficina de Planeación y las diferentes áreas que soportan los PIDAR, la definición de procedimientos conforme al nuevo reglamento.</w:t>
            </w:r>
          </w:p>
        </w:tc>
      </w:tr>
      <w:tr w:rsidR="008E0E70" w:rsidRPr="008E0E70" w14:paraId="49C4DC36" w14:textId="77777777" w:rsidTr="008E0E70">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7E7B987F"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Índice de prestación de servicios de TI</w:t>
            </w:r>
          </w:p>
        </w:tc>
        <w:tc>
          <w:tcPr>
            <w:tcW w:w="482" w:type="pct"/>
            <w:tcBorders>
              <w:top w:val="nil"/>
              <w:left w:val="nil"/>
              <w:bottom w:val="single" w:sz="4" w:space="0" w:color="auto"/>
              <w:right w:val="single" w:sz="4" w:space="0" w:color="auto"/>
            </w:tcBorders>
            <w:shd w:val="clear" w:color="auto" w:fill="auto"/>
            <w:vAlign w:val="center"/>
            <w:hideMark/>
          </w:tcPr>
          <w:p w14:paraId="669648C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50</w:t>
            </w:r>
          </w:p>
        </w:tc>
        <w:tc>
          <w:tcPr>
            <w:tcW w:w="723" w:type="pct"/>
            <w:tcBorders>
              <w:top w:val="nil"/>
              <w:left w:val="nil"/>
              <w:bottom w:val="single" w:sz="4" w:space="0" w:color="auto"/>
              <w:right w:val="single" w:sz="4" w:space="0" w:color="auto"/>
            </w:tcBorders>
            <w:shd w:val="clear" w:color="auto" w:fill="auto"/>
            <w:vAlign w:val="center"/>
            <w:hideMark/>
          </w:tcPr>
          <w:p w14:paraId="2E73ECAA"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44%</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304B09D4"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Se realizaron actividades encaminadas a la solución de incidentes o requerimientos presentados a través de la mesa de ayuda, llamadas telefónicas, </w:t>
            </w:r>
            <w:proofErr w:type="spellStart"/>
            <w:r w:rsidRPr="008E0E70">
              <w:rPr>
                <w:rFonts w:ascii="Arial" w:eastAsia="Times New Roman" w:hAnsi="Arial" w:cs="Arial"/>
                <w:color w:val="000000"/>
                <w:sz w:val="20"/>
                <w:szCs w:val="20"/>
                <w:lang w:eastAsia="es-CO"/>
              </w:rPr>
              <w:t>Teams</w:t>
            </w:r>
            <w:proofErr w:type="spellEnd"/>
            <w:r w:rsidRPr="008E0E70">
              <w:rPr>
                <w:rFonts w:ascii="Arial" w:eastAsia="Times New Roman" w:hAnsi="Arial" w:cs="Arial"/>
                <w:color w:val="000000"/>
                <w:sz w:val="20"/>
                <w:szCs w:val="20"/>
                <w:lang w:eastAsia="es-CO"/>
              </w:rPr>
              <w:t xml:space="preserve"> y correo institucional de aplicaciones como Orfeo (los cuales presentaban inconvenientes para ingresar a dicha aplicación, se revisó la cuenta de para verificar roles y permisos, se habilitaron y se desactivaron usuarios), Banco de Proyectos, Página Web, Ulises, configuración de VPN, cambios de contraseña, afinamiento de la planta telefónica y habilitación de usuarios que atienden Servicio al Ciudadano, se activaron cuentas de correo institucional y se bloquearon cuentas de correo reportadas con malware. Se realiza administración de la infraestructura tecnológica, dentro de las actividades realizadas, se hace limpieza de </w:t>
            </w:r>
            <w:proofErr w:type="spellStart"/>
            <w:r w:rsidRPr="008E0E70">
              <w:rPr>
                <w:rFonts w:ascii="Arial" w:eastAsia="Times New Roman" w:hAnsi="Arial" w:cs="Arial"/>
                <w:color w:val="000000"/>
                <w:sz w:val="20"/>
                <w:szCs w:val="20"/>
                <w:lang w:eastAsia="es-CO"/>
              </w:rPr>
              <w:t>metadata</w:t>
            </w:r>
            <w:proofErr w:type="spellEnd"/>
            <w:r w:rsidRPr="008E0E70">
              <w:rPr>
                <w:rFonts w:ascii="Arial" w:eastAsia="Times New Roman" w:hAnsi="Arial" w:cs="Arial"/>
                <w:color w:val="000000"/>
                <w:sz w:val="20"/>
                <w:szCs w:val="20"/>
                <w:lang w:eastAsia="es-CO"/>
              </w:rPr>
              <w:t xml:space="preserve"> en el Directorio Activo. Lo anterior enmarcado en la emergencia por el Covid-19. Dar soporte a los servicios de información de la ADR: Se realizaron actividades tendientes a la contratación del servicio de conectividad en la sede principal y las </w:t>
            </w:r>
            <w:proofErr w:type="spellStart"/>
            <w:r w:rsidRPr="008E0E70">
              <w:rPr>
                <w:rFonts w:ascii="Arial" w:eastAsia="Times New Roman" w:hAnsi="Arial" w:cs="Arial"/>
                <w:color w:val="000000"/>
                <w:sz w:val="20"/>
                <w:szCs w:val="20"/>
                <w:lang w:eastAsia="es-CO"/>
              </w:rPr>
              <w:t>UTTs</w:t>
            </w:r>
            <w:proofErr w:type="spellEnd"/>
            <w:r w:rsidRPr="008E0E70">
              <w:rPr>
                <w:rFonts w:ascii="Arial" w:eastAsia="Times New Roman" w:hAnsi="Arial" w:cs="Arial"/>
                <w:color w:val="000000"/>
                <w:sz w:val="20"/>
                <w:szCs w:val="20"/>
                <w:lang w:eastAsia="es-CO"/>
              </w:rPr>
              <w:t xml:space="preserve"> de la ADR.</w:t>
            </w:r>
          </w:p>
        </w:tc>
      </w:tr>
      <w:tr w:rsidR="008E0E70" w:rsidRPr="008E0E70" w14:paraId="6118D209" w14:textId="77777777" w:rsidTr="0078679B">
        <w:trPr>
          <w:trHeight w:val="579"/>
        </w:trPr>
        <w:tc>
          <w:tcPr>
            <w:tcW w:w="1522" w:type="pct"/>
            <w:tcBorders>
              <w:top w:val="nil"/>
              <w:left w:val="single" w:sz="4" w:space="0" w:color="auto"/>
              <w:bottom w:val="single" w:sz="4" w:space="0" w:color="auto"/>
              <w:right w:val="single" w:sz="4" w:space="0" w:color="auto"/>
            </w:tcBorders>
            <w:shd w:val="clear" w:color="auto" w:fill="auto"/>
            <w:hideMark/>
          </w:tcPr>
          <w:p w14:paraId="2040E76D"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Numero de servicios de información actualizados</w:t>
            </w:r>
          </w:p>
        </w:tc>
        <w:tc>
          <w:tcPr>
            <w:tcW w:w="482" w:type="pct"/>
            <w:tcBorders>
              <w:top w:val="nil"/>
              <w:left w:val="nil"/>
              <w:bottom w:val="single" w:sz="4" w:space="0" w:color="auto"/>
              <w:right w:val="single" w:sz="4" w:space="0" w:color="auto"/>
            </w:tcBorders>
            <w:shd w:val="clear" w:color="auto" w:fill="auto"/>
            <w:vAlign w:val="center"/>
            <w:hideMark/>
          </w:tcPr>
          <w:p w14:paraId="74FAF1F9"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5A21D232"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5E89A200"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No se presenta avances en este periodo dado que se priorizó el desarrollo y presentación de la guía operativa y cadena de valor del proyecto de inversión de la </w:t>
            </w:r>
            <w:r w:rsidRPr="008E0E70">
              <w:rPr>
                <w:rFonts w:ascii="Arial" w:eastAsia="Times New Roman" w:hAnsi="Arial" w:cs="Arial"/>
                <w:color w:val="000000"/>
                <w:sz w:val="20"/>
                <w:szCs w:val="20"/>
                <w:lang w:eastAsia="es-CO"/>
              </w:rPr>
              <w:lastRenderedPageBreak/>
              <w:t>Oficina, ante la Dirección de Planeación Nacional y el Ministerio de Agricultura.</w:t>
            </w:r>
          </w:p>
        </w:tc>
      </w:tr>
      <w:tr w:rsidR="008E0E70" w:rsidRPr="008E0E70" w14:paraId="3169AA58" w14:textId="77777777" w:rsidTr="008E0E70">
        <w:trPr>
          <w:trHeight w:val="1020"/>
        </w:trPr>
        <w:tc>
          <w:tcPr>
            <w:tcW w:w="1522" w:type="pct"/>
            <w:tcBorders>
              <w:top w:val="nil"/>
              <w:left w:val="single" w:sz="4" w:space="0" w:color="auto"/>
              <w:bottom w:val="single" w:sz="4" w:space="0" w:color="auto"/>
              <w:right w:val="single" w:sz="4" w:space="0" w:color="auto"/>
            </w:tcBorders>
            <w:shd w:val="clear" w:color="auto" w:fill="auto"/>
            <w:hideMark/>
          </w:tcPr>
          <w:p w14:paraId="103E7CAA"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lastRenderedPageBreak/>
              <w:t>Numero de servicios de información implementados</w:t>
            </w:r>
          </w:p>
        </w:tc>
        <w:tc>
          <w:tcPr>
            <w:tcW w:w="482" w:type="pct"/>
            <w:tcBorders>
              <w:top w:val="nil"/>
              <w:left w:val="nil"/>
              <w:bottom w:val="single" w:sz="4" w:space="0" w:color="auto"/>
              <w:right w:val="single" w:sz="4" w:space="0" w:color="auto"/>
            </w:tcBorders>
            <w:shd w:val="clear" w:color="auto" w:fill="auto"/>
            <w:vAlign w:val="center"/>
            <w:hideMark/>
          </w:tcPr>
          <w:p w14:paraId="48412D9F"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077FF885"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536DABEE"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realizaron actividades de revisión y consolidación de los documentos sobre el análisis de la entidad situación y necesidad y el de establecer objetivos del sistema de información de adecuación de tierras. Se están realizando documentos adicionales que hacen parte de la definición del plan para diseño e implementación del sistema de información de adecuación de tierras.</w:t>
            </w:r>
          </w:p>
        </w:tc>
      </w:tr>
      <w:tr w:rsidR="008E0E70" w:rsidRPr="008E0E70" w14:paraId="50FD003C" w14:textId="77777777" w:rsidTr="008E0E70">
        <w:trPr>
          <w:trHeight w:val="615"/>
        </w:trPr>
        <w:tc>
          <w:tcPr>
            <w:tcW w:w="1522" w:type="pct"/>
            <w:tcBorders>
              <w:top w:val="nil"/>
              <w:left w:val="single" w:sz="4" w:space="0" w:color="auto"/>
              <w:bottom w:val="single" w:sz="4" w:space="0" w:color="auto"/>
              <w:right w:val="single" w:sz="4" w:space="0" w:color="auto"/>
            </w:tcBorders>
            <w:shd w:val="clear" w:color="auto" w:fill="auto"/>
            <w:hideMark/>
          </w:tcPr>
          <w:p w14:paraId="3DB8C67D"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Sedes adecuadas</w:t>
            </w:r>
          </w:p>
        </w:tc>
        <w:tc>
          <w:tcPr>
            <w:tcW w:w="482" w:type="pct"/>
            <w:tcBorders>
              <w:top w:val="nil"/>
              <w:left w:val="nil"/>
              <w:bottom w:val="single" w:sz="4" w:space="0" w:color="auto"/>
              <w:right w:val="single" w:sz="4" w:space="0" w:color="auto"/>
            </w:tcBorders>
            <w:shd w:val="clear" w:color="auto" w:fill="auto"/>
            <w:vAlign w:val="center"/>
            <w:hideMark/>
          </w:tcPr>
          <w:p w14:paraId="74A37F0D"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w:t>
            </w:r>
          </w:p>
        </w:tc>
        <w:tc>
          <w:tcPr>
            <w:tcW w:w="723" w:type="pct"/>
            <w:tcBorders>
              <w:top w:val="nil"/>
              <w:left w:val="nil"/>
              <w:bottom w:val="single" w:sz="4" w:space="0" w:color="auto"/>
              <w:right w:val="single" w:sz="4" w:space="0" w:color="auto"/>
            </w:tcBorders>
            <w:shd w:val="clear" w:color="auto" w:fill="auto"/>
            <w:vAlign w:val="center"/>
            <w:hideMark/>
          </w:tcPr>
          <w:p w14:paraId="3F4E072A"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2F75B066"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Se solicita a 12 de las 13 </w:t>
            </w:r>
            <w:proofErr w:type="spellStart"/>
            <w:r w:rsidRPr="008E0E70">
              <w:rPr>
                <w:rFonts w:ascii="Arial" w:eastAsia="Times New Roman" w:hAnsi="Arial" w:cs="Arial"/>
                <w:color w:val="000000"/>
                <w:sz w:val="20"/>
                <w:szCs w:val="20"/>
                <w:lang w:eastAsia="es-CO"/>
              </w:rPr>
              <w:t>UTTs</w:t>
            </w:r>
            <w:proofErr w:type="spellEnd"/>
            <w:r w:rsidRPr="008E0E70">
              <w:rPr>
                <w:rFonts w:ascii="Arial" w:eastAsia="Times New Roman" w:hAnsi="Arial" w:cs="Arial"/>
                <w:color w:val="000000"/>
                <w:sz w:val="20"/>
                <w:szCs w:val="20"/>
                <w:lang w:eastAsia="es-CO"/>
              </w:rPr>
              <w:t xml:space="preserve"> (a la UTT 13 – Bogotá no se envió la solicitud ya que se encontraba desarrollándose el proceso precontractual de arrendamiento de esta sede) el diligenciamiento del formato de priorización F-SAD-01: “PRIORIZACIÓN - SOLICITUD PARA LA INTERVENCIÓN DE LAS INSTALACIONES DE LA AGENCIA DE DESARROLLO RURAL”, los cuales se </w:t>
            </w:r>
            <w:proofErr w:type="spellStart"/>
            <w:r w:rsidRPr="008E0E70">
              <w:rPr>
                <w:rFonts w:ascii="Arial" w:eastAsia="Times New Roman" w:hAnsi="Arial" w:cs="Arial"/>
                <w:color w:val="000000"/>
                <w:sz w:val="20"/>
                <w:szCs w:val="20"/>
                <w:lang w:eastAsia="es-CO"/>
              </w:rPr>
              <w:t>recepcionan</w:t>
            </w:r>
            <w:proofErr w:type="spellEnd"/>
            <w:r w:rsidRPr="008E0E70">
              <w:rPr>
                <w:rFonts w:ascii="Arial" w:eastAsia="Times New Roman" w:hAnsi="Arial" w:cs="Arial"/>
                <w:color w:val="000000"/>
                <w:sz w:val="20"/>
                <w:szCs w:val="20"/>
                <w:lang w:eastAsia="es-CO"/>
              </w:rPr>
              <w:t xml:space="preserve"> y se compilan en un documento, en el cual se priorizan algunos requerimiento específicos de adecuación y otros se añaden de acuerdo a lo socializado y analizado en reunión previa. Con base en este documento, se elabora el plan de mantenimiento, adecuación y dotación para el año 2020 el cual se encuentra a la fecha aprobado y firmado por el Secretario General.</w:t>
            </w:r>
          </w:p>
        </w:tc>
      </w:tr>
      <w:tr w:rsidR="008E0E70" w:rsidRPr="008E0E70" w14:paraId="42B58B4E" w14:textId="77777777" w:rsidTr="008E0E70">
        <w:trPr>
          <w:trHeight w:val="300"/>
        </w:trPr>
        <w:tc>
          <w:tcPr>
            <w:tcW w:w="1522" w:type="pct"/>
            <w:tcBorders>
              <w:top w:val="nil"/>
              <w:left w:val="single" w:sz="4" w:space="0" w:color="auto"/>
              <w:bottom w:val="single" w:sz="4" w:space="0" w:color="auto"/>
              <w:right w:val="single" w:sz="4" w:space="0" w:color="auto"/>
            </w:tcBorders>
            <w:shd w:val="clear" w:color="auto" w:fill="auto"/>
            <w:hideMark/>
          </w:tcPr>
          <w:p w14:paraId="14FEED11"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Sedes dotadas</w:t>
            </w:r>
          </w:p>
        </w:tc>
        <w:tc>
          <w:tcPr>
            <w:tcW w:w="482" w:type="pct"/>
            <w:tcBorders>
              <w:top w:val="nil"/>
              <w:left w:val="nil"/>
              <w:bottom w:val="single" w:sz="4" w:space="0" w:color="auto"/>
              <w:right w:val="single" w:sz="4" w:space="0" w:color="auto"/>
            </w:tcBorders>
            <w:shd w:val="clear" w:color="auto" w:fill="auto"/>
            <w:vAlign w:val="center"/>
            <w:hideMark/>
          </w:tcPr>
          <w:p w14:paraId="12D974E7"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14</w:t>
            </w:r>
          </w:p>
        </w:tc>
        <w:tc>
          <w:tcPr>
            <w:tcW w:w="723" w:type="pct"/>
            <w:tcBorders>
              <w:top w:val="nil"/>
              <w:left w:val="nil"/>
              <w:bottom w:val="single" w:sz="4" w:space="0" w:color="auto"/>
              <w:right w:val="single" w:sz="4" w:space="0" w:color="auto"/>
            </w:tcBorders>
            <w:shd w:val="clear" w:color="auto" w:fill="auto"/>
            <w:vAlign w:val="center"/>
            <w:hideMark/>
          </w:tcPr>
          <w:p w14:paraId="3B667F96"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663963C6"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Se solicita a 12 de las 13 </w:t>
            </w:r>
            <w:proofErr w:type="spellStart"/>
            <w:r w:rsidRPr="008E0E70">
              <w:rPr>
                <w:rFonts w:ascii="Arial" w:eastAsia="Times New Roman" w:hAnsi="Arial" w:cs="Arial"/>
                <w:color w:val="000000"/>
                <w:sz w:val="20"/>
                <w:szCs w:val="20"/>
                <w:lang w:eastAsia="es-CO"/>
              </w:rPr>
              <w:t>UTTs</w:t>
            </w:r>
            <w:proofErr w:type="spellEnd"/>
            <w:r w:rsidRPr="008E0E70">
              <w:rPr>
                <w:rFonts w:ascii="Arial" w:eastAsia="Times New Roman" w:hAnsi="Arial" w:cs="Arial"/>
                <w:color w:val="000000"/>
                <w:sz w:val="20"/>
                <w:szCs w:val="20"/>
                <w:lang w:eastAsia="es-CO"/>
              </w:rPr>
              <w:t xml:space="preserve"> (a la UTT 13 – Bogotá no se envió la solicitud ya que se encontraba desarrollándose el proceso precontractual de arrendamiento de esta sede) el diligenciamiento del formato de priorización F-SAD-01: “PRIORIZACIÓN - SOLICITUD PARA LA INTERVENCIÓN DE LAS INSTALACIONES DE LA AGENCIA DE DESARROLLO RURAL”, los cuales se </w:t>
            </w:r>
            <w:proofErr w:type="spellStart"/>
            <w:r w:rsidRPr="008E0E70">
              <w:rPr>
                <w:rFonts w:ascii="Arial" w:eastAsia="Times New Roman" w:hAnsi="Arial" w:cs="Arial"/>
                <w:color w:val="000000"/>
                <w:sz w:val="20"/>
                <w:szCs w:val="20"/>
                <w:lang w:eastAsia="es-CO"/>
              </w:rPr>
              <w:t>recepcionan</w:t>
            </w:r>
            <w:proofErr w:type="spellEnd"/>
            <w:r w:rsidRPr="008E0E70">
              <w:rPr>
                <w:rFonts w:ascii="Arial" w:eastAsia="Times New Roman" w:hAnsi="Arial" w:cs="Arial"/>
                <w:color w:val="000000"/>
                <w:sz w:val="20"/>
                <w:szCs w:val="20"/>
                <w:lang w:eastAsia="es-CO"/>
              </w:rPr>
              <w:t xml:space="preserve"> y se compilan en un documento, en el cual se priorizan algunos requerimiento específicos de dotación y otros se añaden de acuerdo a lo socializado y analizado en reunión previa. Con base en este documento, se elabora el plan de mantenimiento, adecuación y dotación para </w:t>
            </w:r>
            <w:r w:rsidRPr="008E0E70">
              <w:rPr>
                <w:rFonts w:ascii="Arial" w:eastAsia="Times New Roman" w:hAnsi="Arial" w:cs="Arial"/>
                <w:color w:val="000000"/>
                <w:sz w:val="20"/>
                <w:szCs w:val="20"/>
                <w:lang w:eastAsia="es-CO"/>
              </w:rPr>
              <w:lastRenderedPageBreak/>
              <w:t>el año 2020 el cual se encuentra a la fecha aprobado y firmado.</w:t>
            </w:r>
          </w:p>
        </w:tc>
      </w:tr>
      <w:tr w:rsidR="008E0E70" w:rsidRPr="008E0E70" w14:paraId="1765D750" w14:textId="77777777" w:rsidTr="008E0E70">
        <w:trPr>
          <w:trHeight w:val="300"/>
        </w:trPr>
        <w:tc>
          <w:tcPr>
            <w:tcW w:w="1522" w:type="pct"/>
            <w:tcBorders>
              <w:top w:val="nil"/>
              <w:left w:val="single" w:sz="4" w:space="0" w:color="auto"/>
              <w:bottom w:val="single" w:sz="4" w:space="0" w:color="auto"/>
              <w:right w:val="single" w:sz="4" w:space="0" w:color="auto"/>
            </w:tcBorders>
            <w:shd w:val="clear" w:color="auto" w:fill="auto"/>
            <w:hideMark/>
          </w:tcPr>
          <w:p w14:paraId="49AE0A26"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lastRenderedPageBreak/>
              <w:t>Sedes mantenidas</w:t>
            </w:r>
          </w:p>
        </w:tc>
        <w:tc>
          <w:tcPr>
            <w:tcW w:w="482" w:type="pct"/>
            <w:tcBorders>
              <w:top w:val="nil"/>
              <w:left w:val="nil"/>
              <w:bottom w:val="single" w:sz="4" w:space="0" w:color="auto"/>
              <w:right w:val="single" w:sz="4" w:space="0" w:color="auto"/>
            </w:tcBorders>
            <w:shd w:val="clear" w:color="auto" w:fill="auto"/>
            <w:vAlign w:val="center"/>
            <w:hideMark/>
          </w:tcPr>
          <w:p w14:paraId="34C83357"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14</w:t>
            </w:r>
          </w:p>
        </w:tc>
        <w:tc>
          <w:tcPr>
            <w:tcW w:w="723" w:type="pct"/>
            <w:tcBorders>
              <w:top w:val="nil"/>
              <w:left w:val="nil"/>
              <w:bottom w:val="single" w:sz="4" w:space="0" w:color="auto"/>
              <w:right w:val="single" w:sz="4" w:space="0" w:color="auto"/>
            </w:tcBorders>
            <w:shd w:val="clear" w:color="auto" w:fill="auto"/>
            <w:vAlign w:val="center"/>
            <w:hideMark/>
          </w:tcPr>
          <w:p w14:paraId="7F665AC8"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14B5A41E"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Se solicita a 12 de las 13 </w:t>
            </w:r>
            <w:proofErr w:type="spellStart"/>
            <w:r w:rsidRPr="008E0E70">
              <w:rPr>
                <w:rFonts w:ascii="Arial" w:eastAsia="Times New Roman" w:hAnsi="Arial" w:cs="Arial"/>
                <w:color w:val="000000"/>
                <w:sz w:val="20"/>
                <w:szCs w:val="20"/>
                <w:lang w:eastAsia="es-CO"/>
              </w:rPr>
              <w:t>UTTs</w:t>
            </w:r>
            <w:proofErr w:type="spellEnd"/>
            <w:r w:rsidRPr="008E0E70">
              <w:rPr>
                <w:rFonts w:ascii="Arial" w:eastAsia="Times New Roman" w:hAnsi="Arial" w:cs="Arial"/>
                <w:color w:val="000000"/>
                <w:sz w:val="20"/>
                <w:szCs w:val="20"/>
                <w:lang w:eastAsia="es-CO"/>
              </w:rPr>
              <w:t xml:space="preserve"> (a la UTT 13 – Bogotá no se envió la solicitud ya que se encontraba desarrollándose el proceso precontractual de arrendamiento de esta sede) el diligenciamiento del formato de priorización F-SAD-01: “PRIORIZACIÓN - SOLICITUD PARA LA INTERVENCIÓN DE LAS INSTALACIONES DE LA AGENCIA DE DESARROLLO RURAL”, los cuales se </w:t>
            </w:r>
            <w:proofErr w:type="spellStart"/>
            <w:r w:rsidRPr="008E0E70">
              <w:rPr>
                <w:rFonts w:ascii="Arial" w:eastAsia="Times New Roman" w:hAnsi="Arial" w:cs="Arial"/>
                <w:color w:val="000000"/>
                <w:sz w:val="20"/>
                <w:szCs w:val="20"/>
                <w:lang w:eastAsia="es-CO"/>
              </w:rPr>
              <w:t>recepcionan</w:t>
            </w:r>
            <w:proofErr w:type="spellEnd"/>
            <w:r w:rsidRPr="008E0E70">
              <w:rPr>
                <w:rFonts w:ascii="Arial" w:eastAsia="Times New Roman" w:hAnsi="Arial" w:cs="Arial"/>
                <w:color w:val="000000"/>
                <w:sz w:val="20"/>
                <w:szCs w:val="20"/>
                <w:lang w:eastAsia="es-CO"/>
              </w:rPr>
              <w:t xml:space="preserve"> y se compilan en un documento, en el cual se priorizan algunos requerimiento específicos de mantenimiento y otros se añaden de acuerdo a lo socializado y analizado en reunión previa. Con base en este documento, se elabora el plan de mantenimiento, adecuación y dotación para el año 2020 el cual se encuentra a la fecha aprobado y firmado.</w:t>
            </w:r>
          </w:p>
        </w:tc>
      </w:tr>
      <w:tr w:rsidR="008E0E70" w:rsidRPr="008E0E70" w14:paraId="63CA2CBC" w14:textId="77777777" w:rsidTr="008E0E70">
        <w:trPr>
          <w:trHeight w:val="1020"/>
        </w:trPr>
        <w:tc>
          <w:tcPr>
            <w:tcW w:w="1522" w:type="pct"/>
            <w:tcBorders>
              <w:top w:val="nil"/>
              <w:left w:val="single" w:sz="4" w:space="0" w:color="auto"/>
              <w:bottom w:val="single" w:sz="4" w:space="0" w:color="auto"/>
              <w:right w:val="single" w:sz="4" w:space="0" w:color="auto"/>
            </w:tcBorders>
            <w:shd w:val="clear" w:color="auto" w:fill="auto"/>
            <w:hideMark/>
          </w:tcPr>
          <w:p w14:paraId="3901C552"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 xml:space="preserve">Cajas de expedientes INCODER digitalizadas </w:t>
            </w:r>
          </w:p>
        </w:tc>
        <w:tc>
          <w:tcPr>
            <w:tcW w:w="482" w:type="pct"/>
            <w:tcBorders>
              <w:top w:val="nil"/>
              <w:left w:val="nil"/>
              <w:bottom w:val="single" w:sz="4" w:space="0" w:color="auto"/>
              <w:right w:val="single" w:sz="4" w:space="0" w:color="auto"/>
            </w:tcBorders>
            <w:shd w:val="clear" w:color="auto" w:fill="auto"/>
            <w:vAlign w:val="center"/>
            <w:hideMark/>
          </w:tcPr>
          <w:p w14:paraId="13FBA98B"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1.624</w:t>
            </w:r>
          </w:p>
        </w:tc>
        <w:tc>
          <w:tcPr>
            <w:tcW w:w="723" w:type="pct"/>
            <w:tcBorders>
              <w:top w:val="nil"/>
              <w:left w:val="nil"/>
              <w:bottom w:val="single" w:sz="4" w:space="0" w:color="auto"/>
              <w:right w:val="single" w:sz="4" w:space="0" w:color="auto"/>
            </w:tcBorders>
            <w:shd w:val="clear" w:color="auto" w:fill="auto"/>
            <w:vAlign w:val="center"/>
            <w:hideMark/>
          </w:tcPr>
          <w:p w14:paraId="38A3E94D"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033A0478" w14:textId="16B2A33A" w:rsidR="008E0E70" w:rsidRPr="008E0E70" w:rsidRDefault="00D454BA" w:rsidP="0078679B">
            <w:pPr>
              <w:spacing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w:t>
            </w:r>
            <w:r w:rsidRPr="00D454BA">
              <w:rPr>
                <w:rFonts w:ascii="Arial" w:eastAsia="Times New Roman" w:hAnsi="Arial" w:cs="Arial"/>
                <w:color w:val="000000"/>
                <w:sz w:val="20"/>
                <w:szCs w:val="20"/>
                <w:lang w:eastAsia="es-CO"/>
              </w:rPr>
              <w:t>e están levantando los términos de referencia para el proceso de contratación de la digitalización.</w:t>
            </w:r>
          </w:p>
        </w:tc>
      </w:tr>
      <w:tr w:rsidR="008E0E70" w:rsidRPr="008E0E70" w14:paraId="0987955B" w14:textId="77777777" w:rsidTr="008E0E70">
        <w:trPr>
          <w:trHeight w:val="1020"/>
        </w:trPr>
        <w:tc>
          <w:tcPr>
            <w:tcW w:w="1522" w:type="pct"/>
            <w:tcBorders>
              <w:top w:val="nil"/>
              <w:left w:val="single" w:sz="4" w:space="0" w:color="auto"/>
              <w:bottom w:val="single" w:sz="4" w:space="0" w:color="auto"/>
              <w:right w:val="single" w:sz="4" w:space="0" w:color="auto"/>
            </w:tcBorders>
            <w:shd w:val="clear" w:color="auto" w:fill="auto"/>
            <w:hideMark/>
          </w:tcPr>
          <w:p w14:paraId="5E230A87"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Informes del sistema de gestión documental producidos</w:t>
            </w:r>
          </w:p>
        </w:tc>
        <w:tc>
          <w:tcPr>
            <w:tcW w:w="482" w:type="pct"/>
            <w:tcBorders>
              <w:top w:val="nil"/>
              <w:left w:val="nil"/>
              <w:bottom w:val="single" w:sz="4" w:space="0" w:color="auto"/>
              <w:right w:val="single" w:sz="4" w:space="0" w:color="auto"/>
            </w:tcBorders>
            <w:shd w:val="clear" w:color="auto" w:fill="auto"/>
            <w:vAlign w:val="center"/>
            <w:hideMark/>
          </w:tcPr>
          <w:p w14:paraId="0157D2E9"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6</w:t>
            </w:r>
          </w:p>
        </w:tc>
        <w:tc>
          <w:tcPr>
            <w:tcW w:w="723" w:type="pct"/>
            <w:tcBorders>
              <w:top w:val="nil"/>
              <w:left w:val="nil"/>
              <w:bottom w:val="single" w:sz="4" w:space="0" w:color="auto"/>
              <w:right w:val="single" w:sz="4" w:space="0" w:color="auto"/>
            </w:tcBorders>
            <w:shd w:val="clear" w:color="auto" w:fill="auto"/>
            <w:vAlign w:val="center"/>
            <w:hideMark/>
          </w:tcPr>
          <w:p w14:paraId="2142DD68"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17%</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1D34B16E"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El informe del Sistema de Gestión Documental Orfeo se suministra de manera bimestral y fue reportado para el periodo enero - febrero 2020 por la Oficina de Tecnologías de la Información.</w:t>
            </w:r>
          </w:p>
        </w:tc>
      </w:tr>
      <w:tr w:rsidR="008E0E70" w:rsidRPr="008E0E70" w14:paraId="3C1E4F0C" w14:textId="77777777" w:rsidTr="008E0E70">
        <w:trPr>
          <w:trHeight w:val="1020"/>
        </w:trPr>
        <w:tc>
          <w:tcPr>
            <w:tcW w:w="1522" w:type="pct"/>
            <w:tcBorders>
              <w:top w:val="nil"/>
              <w:left w:val="single" w:sz="4" w:space="0" w:color="auto"/>
              <w:bottom w:val="single" w:sz="4" w:space="0" w:color="auto"/>
              <w:right w:val="single" w:sz="4" w:space="0" w:color="auto"/>
            </w:tcBorders>
            <w:shd w:val="clear" w:color="auto" w:fill="auto"/>
            <w:hideMark/>
          </w:tcPr>
          <w:p w14:paraId="31796B5C"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Informes del sistema integrado de conservación implementado</w:t>
            </w:r>
          </w:p>
        </w:tc>
        <w:tc>
          <w:tcPr>
            <w:tcW w:w="482" w:type="pct"/>
            <w:tcBorders>
              <w:top w:val="nil"/>
              <w:left w:val="nil"/>
              <w:bottom w:val="single" w:sz="4" w:space="0" w:color="auto"/>
              <w:right w:val="single" w:sz="4" w:space="0" w:color="auto"/>
            </w:tcBorders>
            <w:shd w:val="clear" w:color="auto" w:fill="auto"/>
            <w:vAlign w:val="center"/>
            <w:hideMark/>
          </w:tcPr>
          <w:p w14:paraId="1A187976"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6</w:t>
            </w:r>
          </w:p>
        </w:tc>
        <w:tc>
          <w:tcPr>
            <w:tcW w:w="723" w:type="pct"/>
            <w:tcBorders>
              <w:top w:val="nil"/>
              <w:left w:val="nil"/>
              <w:bottom w:val="single" w:sz="4" w:space="0" w:color="auto"/>
              <w:right w:val="single" w:sz="4" w:space="0" w:color="auto"/>
            </w:tcBorders>
            <w:shd w:val="clear" w:color="auto" w:fill="auto"/>
            <w:vAlign w:val="center"/>
            <w:hideMark/>
          </w:tcPr>
          <w:p w14:paraId="37F85535"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17%</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4CE9B053"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El informe de actividades del SIC del archivo central se presenta de manera bimestral, por lo que se  realizó el informe correspondiente al periodo  enero - febrero 2020.</w:t>
            </w:r>
          </w:p>
        </w:tc>
      </w:tr>
      <w:tr w:rsidR="008E0E70" w:rsidRPr="008E0E70" w14:paraId="755E71CB" w14:textId="77777777" w:rsidTr="008E0E70">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71CB529A"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Metros lineales de archivo ADR organizados</w:t>
            </w:r>
          </w:p>
        </w:tc>
        <w:tc>
          <w:tcPr>
            <w:tcW w:w="482" w:type="pct"/>
            <w:tcBorders>
              <w:top w:val="nil"/>
              <w:left w:val="nil"/>
              <w:bottom w:val="single" w:sz="4" w:space="0" w:color="auto"/>
              <w:right w:val="single" w:sz="4" w:space="0" w:color="auto"/>
            </w:tcBorders>
            <w:shd w:val="clear" w:color="auto" w:fill="auto"/>
            <w:vAlign w:val="center"/>
            <w:hideMark/>
          </w:tcPr>
          <w:p w14:paraId="202CD695"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7330D6AF"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33A8FF7F"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organizó 1,75 metros lineales de archivo, con base en la actualización de los expedientes de las series intervenidas por el grupo contratado. Es importante mencionar que desde la cuarentena no se ha realizado producto terminado debido a que la actividad es netamente presencial.</w:t>
            </w:r>
          </w:p>
        </w:tc>
      </w:tr>
      <w:tr w:rsidR="008E0E70" w:rsidRPr="008E0E70" w14:paraId="6BC660E1" w14:textId="77777777" w:rsidTr="008E0E70">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43405D9A"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Metros lineales de archivo INCODER organizados</w:t>
            </w:r>
          </w:p>
        </w:tc>
        <w:tc>
          <w:tcPr>
            <w:tcW w:w="482" w:type="pct"/>
            <w:tcBorders>
              <w:top w:val="nil"/>
              <w:left w:val="nil"/>
              <w:bottom w:val="single" w:sz="4" w:space="0" w:color="auto"/>
              <w:right w:val="single" w:sz="4" w:space="0" w:color="auto"/>
            </w:tcBorders>
            <w:shd w:val="clear" w:color="auto" w:fill="auto"/>
            <w:vAlign w:val="center"/>
            <w:hideMark/>
          </w:tcPr>
          <w:p w14:paraId="1753A34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150</w:t>
            </w:r>
          </w:p>
        </w:tc>
        <w:tc>
          <w:tcPr>
            <w:tcW w:w="723" w:type="pct"/>
            <w:tcBorders>
              <w:top w:val="nil"/>
              <w:left w:val="nil"/>
              <w:bottom w:val="single" w:sz="4" w:space="0" w:color="auto"/>
              <w:right w:val="single" w:sz="4" w:space="0" w:color="auto"/>
            </w:tcBorders>
            <w:shd w:val="clear" w:color="auto" w:fill="auto"/>
            <w:vAlign w:val="center"/>
            <w:hideMark/>
          </w:tcPr>
          <w:p w14:paraId="7EACB050"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41F4EA1E"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están levantando los términos de referencia para el proceso de contratación de la organización del archivo recibido.</w:t>
            </w:r>
          </w:p>
        </w:tc>
      </w:tr>
      <w:tr w:rsidR="008E0E70" w:rsidRPr="008E0E70" w14:paraId="28D8304F" w14:textId="77777777" w:rsidTr="0078679B">
        <w:trPr>
          <w:trHeight w:val="1004"/>
        </w:trPr>
        <w:tc>
          <w:tcPr>
            <w:tcW w:w="1522" w:type="pct"/>
            <w:tcBorders>
              <w:top w:val="nil"/>
              <w:left w:val="single" w:sz="4" w:space="0" w:color="auto"/>
              <w:bottom w:val="single" w:sz="4" w:space="0" w:color="auto"/>
              <w:right w:val="single" w:sz="4" w:space="0" w:color="auto"/>
            </w:tcBorders>
            <w:shd w:val="clear" w:color="auto" w:fill="auto"/>
            <w:hideMark/>
          </w:tcPr>
          <w:p w14:paraId="347F8BBA"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lastRenderedPageBreak/>
              <w:t xml:space="preserve">Proceso de Gestión de Control Interno Disciplinario en cada etapa procesal sustanciados </w:t>
            </w:r>
          </w:p>
        </w:tc>
        <w:tc>
          <w:tcPr>
            <w:tcW w:w="482" w:type="pct"/>
            <w:tcBorders>
              <w:top w:val="nil"/>
              <w:left w:val="nil"/>
              <w:bottom w:val="single" w:sz="4" w:space="0" w:color="auto"/>
              <w:right w:val="single" w:sz="4" w:space="0" w:color="auto"/>
            </w:tcBorders>
            <w:shd w:val="clear" w:color="auto" w:fill="auto"/>
            <w:vAlign w:val="center"/>
            <w:hideMark/>
          </w:tcPr>
          <w:p w14:paraId="1C203F4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1C2959EC"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796B6A41"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cumplió con la meta de los expedientes sustanciados al mes de acuerdo con los procesos radicados.</w:t>
            </w:r>
          </w:p>
        </w:tc>
      </w:tr>
      <w:tr w:rsidR="008E0E70" w:rsidRPr="008E0E70" w14:paraId="62CA6BDC" w14:textId="77777777" w:rsidTr="00697EAC">
        <w:trPr>
          <w:trHeight w:val="977"/>
        </w:trPr>
        <w:tc>
          <w:tcPr>
            <w:tcW w:w="1522" w:type="pct"/>
            <w:tcBorders>
              <w:top w:val="nil"/>
              <w:left w:val="single" w:sz="4" w:space="0" w:color="auto"/>
              <w:bottom w:val="single" w:sz="4" w:space="0" w:color="auto"/>
              <w:right w:val="single" w:sz="4" w:space="0" w:color="auto"/>
            </w:tcBorders>
            <w:shd w:val="clear" w:color="auto" w:fill="auto"/>
            <w:hideMark/>
          </w:tcPr>
          <w:p w14:paraId="08C2015F"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Política general que oriente la defensa de los intereses de la Entidad formulada y aprobada</w:t>
            </w:r>
          </w:p>
        </w:tc>
        <w:tc>
          <w:tcPr>
            <w:tcW w:w="482" w:type="pct"/>
            <w:tcBorders>
              <w:top w:val="nil"/>
              <w:left w:val="nil"/>
              <w:bottom w:val="single" w:sz="4" w:space="0" w:color="auto"/>
              <w:right w:val="single" w:sz="4" w:space="0" w:color="auto"/>
            </w:tcBorders>
            <w:shd w:val="clear" w:color="auto" w:fill="auto"/>
            <w:vAlign w:val="center"/>
            <w:hideMark/>
          </w:tcPr>
          <w:p w14:paraId="15BB559B"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w:t>
            </w:r>
          </w:p>
        </w:tc>
        <w:tc>
          <w:tcPr>
            <w:tcW w:w="723" w:type="pct"/>
            <w:tcBorders>
              <w:top w:val="nil"/>
              <w:left w:val="nil"/>
              <w:bottom w:val="single" w:sz="4" w:space="0" w:color="auto"/>
              <w:right w:val="single" w:sz="4" w:space="0" w:color="auto"/>
            </w:tcBorders>
            <w:shd w:val="clear" w:color="auto" w:fill="auto"/>
            <w:vAlign w:val="center"/>
            <w:hideMark/>
          </w:tcPr>
          <w:p w14:paraId="4ECFE8B5"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191F59F3"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Esta actividad se cumplirá entre julio y agosto de 2020</w:t>
            </w:r>
          </w:p>
        </w:tc>
      </w:tr>
      <w:tr w:rsidR="008E0E70" w:rsidRPr="008E0E70" w14:paraId="7A7BE249" w14:textId="77777777" w:rsidTr="0078679B">
        <w:trPr>
          <w:trHeight w:val="1049"/>
        </w:trPr>
        <w:tc>
          <w:tcPr>
            <w:tcW w:w="1522" w:type="pct"/>
            <w:tcBorders>
              <w:top w:val="nil"/>
              <w:left w:val="single" w:sz="4" w:space="0" w:color="auto"/>
              <w:bottom w:val="single" w:sz="4" w:space="0" w:color="auto"/>
              <w:right w:val="single" w:sz="4" w:space="0" w:color="auto"/>
            </w:tcBorders>
            <w:shd w:val="clear" w:color="auto" w:fill="auto"/>
            <w:hideMark/>
          </w:tcPr>
          <w:p w14:paraId="0A98B3B0"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Informes sobre las liquidaciones derivadas de los contactos y/o convenios realizados</w:t>
            </w:r>
          </w:p>
        </w:tc>
        <w:tc>
          <w:tcPr>
            <w:tcW w:w="482" w:type="pct"/>
            <w:tcBorders>
              <w:top w:val="nil"/>
              <w:left w:val="nil"/>
              <w:bottom w:val="single" w:sz="4" w:space="0" w:color="auto"/>
              <w:right w:val="single" w:sz="4" w:space="0" w:color="auto"/>
            </w:tcBorders>
            <w:shd w:val="clear" w:color="auto" w:fill="auto"/>
            <w:vAlign w:val="center"/>
            <w:hideMark/>
          </w:tcPr>
          <w:p w14:paraId="1F321578"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11</w:t>
            </w:r>
          </w:p>
        </w:tc>
        <w:tc>
          <w:tcPr>
            <w:tcW w:w="723" w:type="pct"/>
            <w:tcBorders>
              <w:top w:val="nil"/>
              <w:left w:val="nil"/>
              <w:bottom w:val="single" w:sz="4" w:space="0" w:color="auto"/>
              <w:right w:val="single" w:sz="4" w:space="0" w:color="auto"/>
            </w:tcBorders>
            <w:shd w:val="clear" w:color="auto" w:fill="auto"/>
            <w:vAlign w:val="center"/>
            <w:hideMark/>
          </w:tcPr>
          <w:p w14:paraId="5F6E6EB7"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27%</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2A9A3F51"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consolidaron tres informes sobre las liquidaciones contractuales adelantadas durante el  periodo enero-marzo</w:t>
            </w:r>
          </w:p>
        </w:tc>
      </w:tr>
      <w:tr w:rsidR="008E0E70" w:rsidRPr="008E0E70" w14:paraId="01504C87" w14:textId="77777777" w:rsidTr="0078679B">
        <w:trPr>
          <w:trHeight w:val="929"/>
        </w:trPr>
        <w:tc>
          <w:tcPr>
            <w:tcW w:w="1522" w:type="pct"/>
            <w:tcBorders>
              <w:top w:val="nil"/>
              <w:left w:val="single" w:sz="4" w:space="0" w:color="auto"/>
              <w:bottom w:val="single" w:sz="4" w:space="0" w:color="auto"/>
              <w:right w:val="single" w:sz="4" w:space="0" w:color="auto"/>
            </w:tcBorders>
            <w:shd w:val="clear" w:color="auto" w:fill="auto"/>
            <w:hideMark/>
          </w:tcPr>
          <w:p w14:paraId="7DA4FEE1"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Avance en la Implementación de la Política de Prevención del Daño Antijurídico, aprobada</w:t>
            </w:r>
          </w:p>
        </w:tc>
        <w:tc>
          <w:tcPr>
            <w:tcW w:w="482" w:type="pct"/>
            <w:tcBorders>
              <w:top w:val="nil"/>
              <w:left w:val="nil"/>
              <w:bottom w:val="single" w:sz="4" w:space="0" w:color="auto"/>
              <w:right w:val="single" w:sz="4" w:space="0" w:color="auto"/>
            </w:tcBorders>
            <w:shd w:val="clear" w:color="auto" w:fill="auto"/>
            <w:vAlign w:val="center"/>
            <w:hideMark/>
          </w:tcPr>
          <w:p w14:paraId="3DD30163"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62E91259"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2271C2F1"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socializó la Política de Prevención del Daño antijurídico</w:t>
            </w:r>
          </w:p>
        </w:tc>
      </w:tr>
      <w:tr w:rsidR="008E0E70" w:rsidRPr="008E0E70" w14:paraId="15513E79" w14:textId="77777777" w:rsidTr="0078679B">
        <w:trPr>
          <w:trHeight w:val="936"/>
        </w:trPr>
        <w:tc>
          <w:tcPr>
            <w:tcW w:w="1522" w:type="pct"/>
            <w:tcBorders>
              <w:top w:val="nil"/>
              <w:left w:val="single" w:sz="4" w:space="0" w:color="auto"/>
              <w:bottom w:val="single" w:sz="4" w:space="0" w:color="auto"/>
              <w:right w:val="single" w:sz="4" w:space="0" w:color="auto"/>
            </w:tcBorders>
            <w:shd w:val="clear" w:color="auto" w:fill="auto"/>
            <w:hideMark/>
          </w:tcPr>
          <w:p w14:paraId="00949AA2"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Informe sobre el estado del Plan Anual de Adquisiciones, elaborados</w:t>
            </w:r>
          </w:p>
        </w:tc>
        <w:tc>
          <w:tcPr>
            <w:tcW w:w="482" w:type="pct"/>
            <w:tcBorders>
              <w:top w:val="nil"/>
              <w:left w:val="nil"/>
              <w:bottom w:val="single" w:sz="4" w:space="0" w:color="auto"/>
              <w:right w:val="single" w:sz="4" w:space="0" w:color="auto"/>
            </w:tcBorders>
            <w:shd w:val="clear" w:color="auto" w:fill="auto"/>
            <w:vAlign w:val="center"/>
            <w:hideMark/>
          </w:tcPr>
          <w:p w14:paraId="5FFCE62F"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11</w:t>
            </w:r>
          </w:p>
        </w:tc>
        <w:tc>
          <w:tcPr>
            <w:tcW w:w="723" w:type="pct"/>
            <w:tcBorders>
              <w:top w:val="nil"/>
              <w:left w:val="nil"/>
              <w:bottom w:val="single" w:sz="4" w:space="0" w:color="auto"/>
              <w:right w:val="single" w:sz="4" w:space="0" w:color="auto"/>
            </w:tcBorders>
            <w:shd w:val="clear" w:color="auto" w:fill="auto"/>
            <w:vAlign w:val="center"/>
            <w:hideMark/>
          </w:tcPr>
          <w:p w14:paraId="04177A4C"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27%</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13BB58FB"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difundieron 3 informes sobre el grado de avance del Plan Anual de Adquisiciones.</w:t>
            </w:r>
          </w:p>
        </w:tc>
      </w:tr>
      <w:tr w:rsidR="008E0E70" w:rsidRPr="008E0E70" w14:paraId="2082E131" w14:textId="77777777" w:rsidTr="0078679B">
        <w:trPr>
          <w:trHeight w:val="799"/>
        </w:trPr>
        <w:tc>
          <w:tcPr>
            <w:tcW w:w="1522" w:type="pct"/>
            <w:tcBorders>
              <w:top w:val="nil"/>
              <w:left w:val="single" w:sz="4" w:space="0" w:color="auto"/>
              <w:bottom w:val="single" w:sz="4" w:space="0" w:color="auto"/>
              <w:right w:val="single" w:sz="4" w:space="0" w:color="auto"/>
            </w:tcBorders>
            <w:shd w:val="clear" w:color="auto" w:fill="auto"/>
            <w:hideMark/>
          </w:tcPr>
          <w:p w14:paraId="68D65EA7"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Informe sobre los contratos y/o convenios suscritos</w:t>
            </w:r>
          </w:p>
        </w:tc>
        <w:tc>
          <w:tcPr>
            <w:tcW w:w="482" w:type="pct"/>
            <w:tcBorders>
              <w:top w:val="nil"/>
              <w:left w:val="nil"/>
              <w:bottom w:val="single" w:sz="4" w:space="0" w:color="auto"/>
              <w:right w:val="single" w:sz="4" w:space="0" w:color="auto"/>
            </w:tcBorders>
            <w:shd w:val="clear" w:color="auto" w:fill="auto"/>
            <w:vAlign w:val="center"/>
            <w:hideMark/>
          </w:tcPr>
          <w:p w14:paraId="02FA1D70"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11</w:t>
            </w:r>
          </w:p>
        </w:tc>
        <w:tc>
          <w:tcPr>
            <w:tcW w:w="723" w:type="pct"/>
            <w:tcBorders>
              <w:top w:val="nil"/>
              <w:left w:val="nil"/>
              <w:bottom w:val="single" w:sz="4" w:space="0" w:color="auto"/>
              <w:right w:val="single" w:sz="4" w:space="0" w:color="auto"/>
            </w:tcBorders>
            <w:shd w:val="clear" w:color="auto" w:fill="auto"/>
            <w:vAlign w:val="center"/>
            <w:hideMark/>
          </w:tcPr>
          <w:p w14:paraId="50481353"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27%</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781A357C"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consolidaron tres informes sobre la  contratación elaborada durante el primer trimestre.</w:t>
            </w:r>
          </w:p>
        </w:tc>
      </w:tr>
      <w:tr w:rsidR="008E0E70" w:rsidRPr="008E0E70" w14:paraId="3C492DD6" w14:textId="77777777" w:rsidTr="0078679B">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5805D41D"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Porcentaje de procesos cobro iniciados</w:t>
            </w:r>
          </w:p>
        </w:tc>
        <w:tc>
          <w:tcPr>
            <w:tcW w:w="482" w:type="pct"/>
            <w:tcBorders>
              <w:top w:val="nil"/>
              <w:left w:val="nil"/>
              <w:bottom w:val="single" w:sz="4" w:space="0" w:color="auto"/>
              <w:right w:val="single" w:sz="4" w:space="0" w:color="auto"/>
            </w:tcBorders>
            <w:shd w:val="clear" w:color="auto" w:fill="auto"/>
            <w:vAlign w:val="center"/>
            <w:hideMark/>
          </w:tcPr>
          <w:p w14:paraId="72A74907"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16A99259"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02601D1A"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está a la espera de remisión por parte de las áreas generadoras de los títulos ejecutivos a la Oficina Jurídica  para dar trámite a la apertura de los procesos de cobro coactivo.</w:t>
            </w:r>
          </w:p>
        </w:tc>
      </w:tr>
      <w:tr w:rsidR="008E0E70" w:rsidRPr="008E0E70" w14:paraId="486968DD" w14:textId="77777777" w:rsidTr="0078679B">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5E7037D8"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Porcentaje de actuaciones judiciales emitidas</w:t>
            </w:r>
          </w:p>
        </w:tc>
        <w:tc>
          <w:tcPr>
            <w:tcW w:w="482" w:type="pct"/>
            <w:tcBorders>
              <w:top w:val="nil"/>
              <w:left w:val="nil"/>
              <w:bottom w:val="single" w:sz="4" w:space="0" w:color="auto"/>
              <w:right w:val="single" w:sz="4" w:space="0" w:color="auto"/>
            </w:tcBorders>
            <w:shd w:val="clear" w:color="auto" w:fill="auto"/>
            <w:vAlign w:val="center"/>
            <w:hideMark/>
          </w:tcPr>
          <w:p w14:paraId="121B46CB"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3B778DBF"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7485B479"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Entre enero y marzo se atendieron 22 trámites de tutela.</w:t>
            </w:r>
          </w:p>
        </w:tc>
      </w:tr>
      <w:tr w:rsidR="008E0E70" w:rsidRPr="008E0E70" w14:paraId="6A41148B" w14:textId="77777777" w:rsidTr="0078679B">
        <w:trPr>
          <w:trHeight w:val="721"/>
        </w:trPr>
        <w:tc>
          <w:tcPr>
            <w:tcW w:w="1522" w:type="pct"/>
            <w:tcBorders>
              <w:top w:val="nil"/>
              <w:left w:val="single" w:sz="4" w:space="0" w:color="auto"/>
              <w:bottom w:val="single" w:sz="4" w:space="0" w:color="auto"/>
              <w:right w:val="single" w:sz="4" w:space="0" w:color="auto"/>
            </w:tcBorders>
            <w:shd w:val="clear" w:color="auto" w:fill="auto"/>
            <w:hideMark/>
          </w:tcPr>
          <w:p w14:paraId="0EE8B723"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Porcentaje de conceptos jurídicos emitidos</w:t>
            </w:r>
          </w:p>
        </w:tc>
        <w:tc>
          <w:tcPr>
            <w:tcW w:w="482" w:type="pct"/>
            <w:tcBorders>
              <w:top w:val="nil"/>
              <w:left w:val="nil"/>
              <w:bottom w:val="single" w:sz="4" w:space="0" w:color="auto"/>
              <w:right w:val="single" w:sz="4" w:space="0" w:color="auto"/>
            </w:tcBorders>
            <w:shd w:val="clear" w:color="auto" w:fill="auto"/>
            <w:vAlign w:val="center"/>
            <w:hideMark/>
          </w:tcPr>
          <w:p w14:paraId="10C66CD2"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2749631F"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456C63E5"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Entre enero y marzo se emitieron 6 conceptos.</w:t>
            </w:r>
          </w:p>
        </w:tc>
      </w:tr>
      <w:tr w:rsidR="008E0E70" w:rsidRPr="008E0E70" w14:paraId="522F4B40" w14:textId="77777777" w:rsidTr="0078679B">
        <w:trPr>
          <w:trHeight w:val="765"/>
        </w:trPr>
        <w:tc>
          <w:tcPr>
            <w:tcW w:w="1522" w:type="pct"/>
            <w:tcBorders>
              <w:top w:val="nil"/>
              <w:left w:val="single" w:sz="4" w:space="0" w:color="auto"/>
              <w:bottom w:val="single" w:sz="4" w:space="0" w:color="auto"/>
              <w:right w:val="single" w:sz="4" w:space="0" w:color="auto"/>
            </w:tcBorders>
            <w:shd w:val="clear" w:color="auto" w:fill="auto"/>
            <w:hideMark/>
          </w:tcPr>
          <w:p w14:paraId="5DBDF5DB"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Porcentaje de requerimientos atendidos</w:t>
            </w:r>
          </w:p>
        </w:tc>
        <w:tc>
          <w:tcPr>
            <w:tcW w:w="482" w:type="pct"/>
            <w:tcBorders>
              <w:top w:val="nil"/>
              <w:left w:val="nil"/>
              <w:bottom w:val="single" w:sz="4" w:space="0" w:color="auto"/>
              <w:right w:val="single" w:sz="4" w:space="0" w:color="auto"/>
            </w:tcBorders>
            <w:shd w:val="clear" w:color="auto" w:fill="auto"/>
            <w:vAlign w:val="center"/>
            <w:hideMark/>
          </w:tcPr>
          <w:p w14:paraId="5B8DB8D6"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66F8C142"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701AE0CF"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atendieron los requerimientos que llegaron a la entidad.</w:t>
            </w:r>
          </w:p>
        </w:tc>
      </w:tr>
      <w:tr w:rsidR="008E0E70" w:rsidRPr="008E0E70" w14:paraId="0B1BC589" w14:textId="77777777" w:rsidTr="0078679B">
        <w:trPr>
          <w:trHeight w:val="601"/>
        </w:trPr>
        <w:tc>
          <w:tcPr>
            <w:tcW w:w="1522" w:type="pct"/>
            <w:tcBorders>
              <w:top w:val="nil"/>
              <w:left w:val="single" w:sz="4" w:space="0" w:color="auto"/>
              <w:bottom w:val="single" w:sz="4" w:space="0" w:color="auto"/>
              <w:right w:val="single" w:sz="4" w:space="0" w:color="auto"/>
            </w:tcBorders>
            <w:shd w:val="clear" w:color="auto" w:fill="auto"/>
            <w:hideMark/>
          </w:tcPr>
          <w:p w14:paraId="7B66BF5F"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Porcentaje de solicitudes atendidas</w:t>
            </w:r>
          </w:p>
        </w:tc>
        <w:tc>
          <w:tcPr>
            <w:tcW w:w="482" w:type="pct"/>
            <w:tcBorders>
              <w:top w:val="nil"/>
              <w:left w:val="nil"/>
              <w:bottom w:val="single" w:sz="4" w:space="0" w:color="auto"/>
              <w:right w:val="single" w:sz="4" w:space="0" w:color="auto"/>
            </w:tcBorders>
            <w:shd w:val="clear" w:color="auto" w:fill="auto"/>
            <w:vAlign w:val="center"/>
            <w:hideMark/>
          </w:tcPr>
          <w:p w14:paraId="2FC899A5"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723" w:type="pct"/>
            <w:tcBorders>
              <w:top w:val="nil"/>
              <w:left w:val="nil"/>
              <w:bottom w:val="single" w:sz="4" w:space="0" w:color="auto"/>
              <w:right w:val="single" w:sz="4" w:space="0" w:color="auto"/>
            </w:tcBorders>
            <w:shd w:val="clear" w:color="auto" w:fill="auto"/>
            <w:vAlign w:val="center"/>
            <w:hideMark/>
          </w:tcPr>
          <w:p w14:paraId="3DBB2BC7"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508B4D28"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29 solicitudes recibidas y atendidas en el marco del proceso de cobro.</w:t>
            </w:r>
          </w:p>
        </w:tc>
      </w:tr>
      <w:tr w:rsidR="008E0E70" w:rsidRPr="008E0E70" w14:paraId="525342BC" w14:textId="77777777" w:rsidTr="0078679B">
        <w:trPr>
          <w:trHeight w:val="837"/>
        </w:trPr>
        <w:tc>
          <w:tcPr>
            <w:tcW w:w="1522" w:type="pct"/>
            <w:tcBorders>
              <w:top w:val="nil"/>
              <w:left w:val="single" w:sz="4" w:space="0" w:color="auto"/>
              <w:bottom w:val="single" w:sz="4" w:space="0" w:color="auto"/>
              <w:right w:val="single" w:sz="4" w:space="0" w:color="auto"/>
            </w:tcBorders>
            <w:shd w:val="clear" w:color="auto" w:fill="auto"/>
            <w:hideMark/>
          </w:tcPr>
          <w:p w14:paraId="4375CF9E"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Sesiones de Comité de Conciliación realizados</w:t>
            </w:r>
          </w:p>
        </w:tc>
        <w:tc>
          <w:tcPr>
            <w:tcW w:w="482" w:type="pct"/>
            <w:tcBorders>
              <w:top w:val="nil"/>
              <w:left w:val="nil"/>
              <w:bottom w:val="single" w:sz="4" w:space="0" w:color="auto"/>
              <w:right w:val="single" w:sz="4" w:space="0" w:color="auto"/>
            </w:tcBorders>
            <w:shd w:val="clear" w:color="auto" w:fill="auto"/>
            <w:vAlign w:val="center"/>
            <w:hideMark/>
          </w:tcPr>
          <w:p w14:paraId="19AAB8B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24</w:t>
            </w:r>
          </w:p>
        </w:tc>
        <w:tc>
          <w:tcPr>
            <w:tcW w:w="723" w:type="pct"/>
            <w:tcBorders>
              <w:top w:val="nil"/>
              <w:left w:val="nil"/>
              <w:bottom w:val="single" w:sz="4" w:space="0" w:color="auto"/>
              <w:right w:val="single" w:sz="4" w:space="0" w:color="auto"/>
            </w:tcBorders>
            <w:shd w:val="clear" w:color="auto" w:fill="auto"/>
            <w:vAlign w:val="center"/>
            <w:hideMark/>
          </w:tcPr>
          <w:p w14:paraId="457E0A6B"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100%</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0F6289F5"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realizaron el número de sesiones establecidas en el reglamento del comité de conciliación.</w:t>
            </w:r>
          </w:p>
        </w:tc>
      </w:tr>
      <w:tr w:rsidR="008E0E70" w:rsidRPr="008E0E70" w14:paraId="5A8348B3" w14:textId="77777777" w:rsidTr="0078679B">
        <w:trPr>
          <w:trHeight w:val="911"/>
        </w:trPr>
        <w:tc>
          <w:tcPr>
            <w:tcW w:w="1522" w:type="pct"/>
            <w:tcBorders>
              <w:top w:val="nil"/>
              <w:left w:val="single" w:sz="4" w:space="0" w:color="auto"/>
              <w:bottom w:val="single" w:sz="4" w:space="0" w:color="auto"/>
              <w:right w:val="single" w:sz="4" w:space="0" w:color="auto"/>
            </w:tcBorders>
            <w:shd w:val="clear" w:color="auto" w:fill="auto"/>
            <w:hideMark/>
          </w:tcPr>
          <w:p w14:paraId="5F34121E" w14:textId="77777777" w:rsidR="008E0E70" w:rsidRPr="008E0E70" w:rsidRDefault="008E0E70" w:rsidP="008E0E70">
            <w:pPr>
              <w:spacing w:line="240" w:lineRule="auto"/>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lastRenderedPageBreak/>
              <w:t>Informes SIPOV (sistema de información de población Victima) MADR, atendidos</w:t>
            </w:r>
          </w:p>
        </w:tc>
        <w:tc>
          <w:tcPr>
            <w:tcW w:w="482" w:type="pct"/>
            <w:tcBorders>
              <w:top w:val="nil"/>
              <w:left w:val="nil"/>
              <w:bottom w:val="single" w:sz="4" w:space="0" w:color="auto"/>
              <w:right w:val="single" w:sz="4" w:space="0" w:color="auto"/>
            </w:tcBorders>
            <w:shd w:val="clear" w:color="auto" w:fill="auto"/>
            <w:vAlign w:val="center"/>
            <w:hideMark/>
          </w:tcPr>
          <w:p w14:paraId="6BA7F159"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4</w:t>
            </w:r>
          </w:p>
        </w:tc>
        <w:tc>
          <w:tcPr>
            <w:tcW w:w="723" w:type="pct"/>
            <w:tcBorders>
              <w:top w:val="nil"/>
              <w:left w:val="nil"/>
              <w:bottom w:val="single" w:sz="4" w:space="0" w:color="auto"/>
              <w:right w:val="single" w:sz="4" w:space="0" w:color="auto"/>
            </w:tcBorders>
            <w:shd w:val="clear" w:color="auto" w:fill="auto"/>
            <w:vAlign w:val="center"/>
            <w:hideMark/>
          </w:tcPr>
          <w:p w14:paraId="24E2C51E" w14:textId="77777777" w:rsidR="008E0E70" w:rsidRPr="008E0E70" w:rsidRDefault="008E0E70" w:rsidP="008E0E70">
            <w:pPr>
              <w:spacing w:line="240" w:lineRule="auto"/>
              <w:jc w:val="center"/>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25%</w:t>
            </w:r>
          </w:p>
        </w:tc>
        <w:tc>
          <w:tcPr>
            <w:tcW w:w="2273" w:type="pct"/>
            <w:gridSpan w:val="2"/>
            <w:tcBorders>
              <w:top w:val="single" w:sz="4" w:space="0" w:color="auto"/>
              <w:left w:val="nil"/>
              <w:bottom w:val="single" w:sz="4" w:space="0" w:color="auto"/>
              <w:right w:val="single" w:sz="4" w:space="0" w:color="auto"/>
            </w:tcBorders>
            <w:shd w:val="clear" w:color="auto" w:fill="auto"/>
            <w:hideMark/>
          </w:tcPr>
          <w:p w14:paraId="2AB0C506" w14:textId="77777777" w:rsidR="008E0E70" w:rsidRPr="008E0E70" w:rsidRDefault="008E0E70" w:rsidP="0078679B">
            <w:pPr>
              <w:spacing w:line="240" w:lineRule="auto"/>
              <w:jc w:val="both"/>
              <w:rPr>
                <w:rFonts w:ascii="Arial" w:eastAsia="Times New Roman" w:hAnsi="Arial" w:cs="Arial"/>
                <w:color w:val="000000"/>
                <w:sz w:val="20"/>
                <w:szCs w:val="20"/>
                <w:lang w:eastAsia="es-CO"/>
              </w:rPr>
            </w:pPr>
            <w:r w:rsidRPr="008E0E70">
              <w:rPr>
                <w:rFonts w:ascii="Arial" w:eastAsia="Times New Roman" w:hAnsi="Arial" w:cs="Arial"/>
                <w:color w:val="000000"/>
                <w:sz w:val="20"/>
                <w:szCs w:val="20"/>
                <w:lang w:eastAsia="es-CO"/>
              </w:rPr>
              <w:t>Se realiza informe con corte a 31 de marzo. Los informes tienen una periodicidad trimestral</w:t>
            </w:r>
          </w:p>
        </w:tc>
      </w:tr>
    </w:tbl>
    <w:p w14:paraId="0919430C" w14:textId="77777777" w:rsidR="00E0461F" w:rsidRPr="00CA4EA1" w:rsidRDefault="00E0461F" w:rsidP="00E0461F">
      <w:pPr>
        <w:rPr>
          <w:rFonts w:ascii="Arial" w:hAnsi="Arial" w:cs="Arial"/>
          <w:color w:val="000000"/>
          <w:sz w:val="24"/>
          <w:szCs w:val="24"/>
        </w:rPr>
      </w:pPr>
      <w:r w:rsidRPr="00CA4EA1">
        <w:rPr>
          <w:rFonts w:ascii="Arial" w:hAnsi="Arial" w:cs="Arial"/>
          <w:bCs/>
          <w:sz w:val="16"/>
          <w:szCs w:val="16"/>
        </w:rPr>
        <w:t xml:space="preserve">Fuente: </w:t>
      </w:r>
      <w:r w:rsidRPr="00CA4EA1">
        <w:rPr>
          <w:rFonts w:ascii="Arial" w:hAnsi="Arial" w:cs="Arial"/>
          <w:sz w:val="16"/>
          <w:szCs w:val="16"/>
        </w:rPr>
        <w:t xml:space="preserve">Cifras </w:t>
      </w:r>
      <w:proofErr w:type="spellStart"/>
      <w:r w:rsidRPr="00CA4EA1">
        <w:rPr>
          <w:rFonts w:ascii="Arial" w:hAnsi="Arial" w:cs="Arial"/>
          <w:sz w:val="16"/>
          <w:szCs w:val="16"/>
        </w:rPr>
        <w:t>Isolucion</w:t>
      </w:r>
      <w:proofErr w:type="spellEnd"/>
      <w:r w:rsidRPr="00CA4EA1">
        <w:rPr>
          <w:rFonts w:ascii="Arial" w:hAnsi="Arial" w:cs="Arial"/>
          <w:sz w:val="16"/>
          <w:szCs w:val="16"/>
        </w:rPr>
        <w:t>. Enero – marzo 2020.</w:t>
      </w:r>
    </w:p>
    <w:p w14:paraId="3F8B34EE" w14:textId="77777777" w:rsidR="00CD0D66" w:rsidRDefault="00CD0D66" w:rsidP="008372FC">
      <w:pPr>
        <w:autoSpaceDE w:val="0"/>
        <w:autoSpaceDN w:val="0"/>
        <w:adjustRightInd w:val="0"/>
        <w:spacing w:line="240" w:lineRule="auto"/>
        <w:jc w:val="both"/>
        <w:rPr>
          <w:rFonts w:ascii="Arial" w:hAnsi="Arial" w:cs="Arial"/>
          <w:color w:val="70AD47" w:themeColor="accent6"/>
          <w:sz w:val="24"/>
          <w:szCs w:val="24"/>
        </w:rPr>
      </w:pPr>
    </w:p>
    <w:p w14:paraId="67FE7509" w14:textId="27DCC6EB" w:rsidR="00E0461F" w:rsidRDefault="00E0461F" w:rsidP="006A53DA">
      <w:pPr>
        <w:autoSpaceDE w:val="0"/>
        <w:autoSpaceDN w:val="0"/>
        <w:adjustRightInd w:val="0"/>
        <w:spacing w:line="240" w:lineRule="auto"/>
        <w:rPr>
          <w:rFonts w:ascii="Arial" w:hAnsi="Arial" w:cs="Arial"/>
          <w:b/>
          <w:bCs/>
          <w:color w:val="538135" w:themeColor="accent6" w:themeShade="BF"/>
          <w:sz w:val="24"/>
          <w:szCs w:val="24"/>
        </w:rPr>
      </w:pPr>
      <w:r w:rsidRPr="006A53DA">
        <w:rPr>
          <w:rFonts w:ascii="Arial" w:hAnsi="Arial" w:cs="Arial"/>
          <w:b/>
          <w:bCs/>
          <w:color w:val="538135" w:themeColor="accent6" w:themeShade="BF"/>
          <w:sz w:val="24"/>
          <w:szCs w:val="24"/>
        </w:rPr>
        <w:t>CONSULTA INDICADORES EN ISOLUCIÓN</w:t>
      </w:r>
    </w:p>
    <w:p w14:paraId="4620981A" w14:textId="77777777" w:rsidR="006A53DA" w:rsidRPr="006A53DA" w:rsidRDefault="006A53DA" w:rsidP="006A53DA">
      <w:pPr>
        <w:autoSpaceDE w:val="0"/>
        <w:autoSpaceDN w:val="0"/>
        <w:adjustRightInd w:val="0"/>
        <w:spacing w:line="240" w:lineRule="auto"/>
        <w:rPr>
          <w:rFonts w:ascii="Arial" w:hAnsi="Arial" w:cs="Arial"/>
          <w:b/>
          <w:bCs/>
          <w:color w:val="538135" w:themeColor="accent6" w:themeShade="BF"/>
          <w:sz w:val="24"/>
          <w:szCs w:val="24"/>
        </w:rPr>
      </w:pPr>
    </w:p>
    <w:p w14:paraId="292DC72D" w14:textId="5C3EDC71" w:rsidR="00E0461F" w:rsidRPr="00E0461F" w:rsidRDefault="00E0461F" w:rsidP="008372FC">
      <w:pPr>
        <w:autoSpaceDE w:val="0"/>
        <w:autoSpaceDN w:val="0"/>
        <w:adjustRightInd w:val="0"/>
        <w:spacing w:line="240" w:lineRule="auto"/>
        <w:jc w:val="both"/>
        <w:rPr>
          <w:rFonts w:ascii="Arial" w:hAnsi="Arial" w:cs="Arial"/>
          <w:sz w:val="24"/>
          <w:szCs w:val="24"/>
        </w:rPr>
      </w:pPr>
      <w:r w:rsidRPr="00E0461F">
        <w:rPr>
          <w:rFonts w:ascii="Arial" w:hAnsi="Arial" w:cs="Arial"/>
          <w:sz w:val="24"/>
          <w:szCs w:val="24"/>
        </w:rPr>
        <w:t xml:space="preserve">Finalmente recordamos que cada uno de estos indicadores, está disponible para consulta de los funcionarios a través del aplicativo </w:t>
      </w:r>
      <w:proofErr w:type="spellStart"/>
      <w:r w:rsidRPr="00E0461F">
        <w:rPr>
          <w:rFonts w:ascii="Arial" w:hAnsi="Arial" w:cs="Arial"/>
          <w:sz w:val="24"/>
          <w:szCs w:val="24"/>
        </w:rPr>
        <w:t>Isolucion</w:t>
      </w:r>
      <w:proofErr w:type="spellEnd"/>
      <w:r w:rsidRPr="00E0461F">
        <w:rPr>
          <w:rFonts w:ascii="Arial" w:hAnsi="Arial" w:cs="Arial"/>
          <w:sz w:val="24"/>
          <w:szCs w:val="24"/>
        </w:rPr>
        <w:t xml:space="preserve"> http://isolucion.adr.gov.co/Isolucion/PaginaLogin.aspx, ingresando con el usuario consulta a medición, visualización. Los indicadores podrán ser consultados por objetivo (como aparecen acá) o por proceso, realizando los filtros respectivos:</w:t>
      </w:r>
    </w:p>
    <w:p w14:paraId="729BC5BF" w14:textId="77777777" w:rsidR="00E0461F" w:rsidRDefault="00E0461F" w:rsidP="008372FC">
      <w:pPr>
        <w:autoSpaceDE w:val="0"/>
        <w:autoSpaceDN w:val="0"/>
        <w:adjustRightInd w:val="0"/>
        <w:spacing w:line="240" w:lineRule="auto"/>
        <w:jc w:val="both"/>
      </w:pPr>
    </w:p>
    <w:p w14:paraId="5CFE2366" w14:textId="443B292A" w:rsidR="00E0461F" w:rsidRDefault="00E0461F" w:rsidP="008372FC">
      <w:pPr>
        <w:autoSpaceDE w:val="0"/>
        <w:autoSpaceDN w:val="0"/>
        <w:adjustRightInd w:val="0"/>
        <w:spacing w:line="240" w:lineRule="auto"/>
        <w:jc w:val="both"/>
        <w:rPr>
          <w:rFonts w:ascii="Arial" w:hAnsi="Arial" w:cs="Arial"/>
          <w:color w:val="70AD47" w:themeColor="accent6"/>
          <w:sz w:val="24"/>
          <w:szCs w:val="24"/>
        </w:rPr>
      </w:pPr>
      <w:r w:rsidRPr="00E0461F">
        <w:rPr>
          <w:rFonts w:ascii="Arial" w:hAnsi="Arial" w:cs="Arial"/>
          <w:noProof/>
          <w:color w:val="70AD47" w:themeColor="accent6"/>
          <w:sz w:val="24"/>
          <w:szCs w:val="24"/>
          <w:lang w:eastAsia="es-CO"/>
        </w:rPr>
        <w:drawing>
          <wp:inline distT="0" distB="0" distL="0" distR="0" wp14:anchorId="4C7EFA3C" wp14:editId="1ACCE449">
            <wp:extent cx="5612130" cy="1961317"/>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961317"/>
                    </a:xfrm>
                    <a:prstGeom prst="rect">
                      <a:avLst/>
                    </a:prstGeom>
                    <a:noFill/>
                    <a:ln>
                      <a:noFill/>
                    </a:ln>
                  </pic:spPr>
                </pic:pic>
              </a:graphicData>
            </a:graphic>
          </wp:inline>
        </w:drawing>
      </w:r>
    </w:p>
    <w:p w14:paraId="441DF8E5" w14:textId="77777777" w:rsidR="00E0461F" w:rsidRDefault="00E0461F" w:rsidP="008372FC">
      <w:pPr>
        <w:autoSpaceDE w:val="0"/>
        <w:autoSpaceDN w:val="0"/>
        <w:adjustRightInd w:val="0"/>
        <w:spacing w:line="240" w:lineRule="auto"/>
        <w:jc w:val="both"/>
      </w:pPr>
    </w:p>
    <w:p w14:paraId="415E7FF0" w14:textId="0A9A042A" w:rsidR="00E0461F" w:rsidRPr="00E0461F" w:rsidRDefault="00E0461F" w:rsidP="008372FC">
      <w:pPr>
        <w:autoSpaceDE w:val="0"/>
        <w:autoSpaceDN w:val="0"/>
        <w:adjustRightInd w:val="0"/>
        <w:spacing w:line="240" w:lineRule="auto"/>
        <w:jc w:val="both"/>
        <w:rPr>
          <w:rFonts w:ascii="Arial" w:hAnsi="Arial" w:cs="Arial"/>
          <w:color w:val="70AD47" w:themeColor="accent6"/>
          <w:sz w:val="24"/>
          <w:szCs w:val="24"/>
        </w:rPr>
      </w:pPr>
      <w:r w:rsidRPr="00E0461F">
        <w:rPr>
          <w:rFonts w:ascii="Arial" w:hAnsi="Arial" w:cs="Arial"/>
          <w:sz w:val="24"/>
          <w:szCs w:val="24"/>
        </w:rPr>
        <w:t>Al dar clic a un indicador, es posible conocer el detalle del reporte junto con las evidencias aportadas por los responsables.</w:t>
      </w:r>
    </w:p>
    <w:sectPr w:rsidR="00E0461F" w:rsidRPr="00E0461F" w:rsidSect="00280AC7">
      <w:pgSz w:w="12240" w:h="163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ED11F" w14:textId="77777777" w:rsidR="00ED1348" w:rsidRDefault="00ED1348" w:rsidP="00915462">
      <w:pPr>
        <w:spacing w:line="240" w:lineRule="auto"/>
      </w:pPr>
      <w:r>
        <w:separator/>
      </w:r>
    </w:p>
  </w:endnote>
  <w:endnote w:type="continuationSeparator" w:id="0">
    <w:p w14:paraId="40F18C77" w14:textId="77777777" w:rsidR="00ED1348" w:rsidRDefault="00ED1348" w:rsidP="00915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55A2" w14:textId="77777777" w:rsidR="003B6AFB" w:rsidRDefault="003B6AFB">
    <w:pPr>
      <w:pStyle w:val="Piedepgina"/>
    </w:pPr>
    <w:r>
      <w:rPr>
        <w:rFonts w:ascii="Arial" w:eastAsia="Arial" w:hAnsi="Arial" w:cs="Arial"/>
        <w:noProof/>
        <w:sz w:val="18"/>
        <w:lang w:eastAsia="es-CO"/>
      </w:rPr>
      <w:drawing>
        <wp:inline distT="0" distB="0" distL="0" distR="0" wp14:anchorId="3D134B7F" wp14:editId="28442B64">
          <wp:extent cx="5612130" cy="871199"/>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711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215A7" w14:textId="77777777" w:rsidR="00ED1348" w:rsidRDefault="00ED1348" w:rsidP="00915462">
      <w:pPr>
        <w:spacing w:line="240" w:lineRule="auto"/>
      </w:pPr>
      <w:r>
        <w:separator/>
      </w:r>
    </w:p>
  </w:footnote>
  <w:footnote w:type="continuationSeparator" w:id="0">
    <w:p w14:paraId="0A17526C" w14:textId="77777777" w:rsidR="00ED1348" w:rsidRDefault="00ED1348" w:rsidP="009154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4A06" w14:textId="77777777" w:rsidR="003B6AFB" w:rsidRDefault="003B6AFB">
    <w:pPr>
      <w:pStyle w:val="Encabezado"/>
    </w:pPr>
    <w:r>
      <w:rPr>
        <w:noProof/>
        <w:lang w:eastAsia="es-CO"/>
      </w:rPr>
      <w:drawing>
        <wp:inline distT="0" distB="0" distL="0" distR="0" wp14:anchorId="78B33200" wp14:editId="0D92354C">
          <wp:extent cx="1560397" cy="533400"/>
          <wp:effectExtent l="0" t="0" r="1905" b="0"/>
          <wp:docPr id="50" name="1 Imagen" descr="LOGO_AGENCIA DE DESARROLLO RURAL-0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C9B61B2-95C7-48FD-BEF8-7073C18B5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LOGO_AGENCIA DE DESARROLLO RURAL-0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C9B61B2-95C7-48FD-BEF8-7073C18B53C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3811" t="38382" r="23483" b="31938"/>
                  <a:stretch>
                    <a:fillRect/>
                  </a:stretch>
                </pic:blipFill>
                <pic:spPr bwMode="auto">
                  <a:xfrm>
                    <a:off x="0" y="0"/>
                    <a:ext cx="1569623" cy="536554"/>
                  </a:xfrm>
                  <a:prstGeom prst="rect">
                    <a:avLst/>
                  </a:prstGeom>
                  <a:noFill/>
                  <a:ln>
                    <a:noFill/>
                  </a:ln>
                </pic:spPr>
              </pic:pic>
            </a:graphicData>
          </a:graphic>
        </wp:inline>
      </w:drawing>
    </w:r>
  </w:p>
  <w:p w14:paraId="632E8817" w14:textId="77777777" w:rsidR="003B6AFB" w:rsidRDefault="003B6A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C7C3DE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2418C4"/>
    <w:multiLevelType w:val="hybridMultilevel"/>
    <w:tmpl w:val="7DBC223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7E3125"/>
    <w:multiLevelType w:val="hybridMultilevel"/>
    <w:tmpl w:val="87E6E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9439A2"/>
    <w:multiLevelType w:val="multilevel"/>
    <w:tmpl w:val="AAFAD57E"/>
    <w:lvl w:ilvl="0">
      <w:start w:val="1"/>
      <w:numFmt w:val="decimal"/>
      <w:lvlText w:val="%1"/>
      <w:lvlJc w:val="left"/>
      <w:pPr>
        <w:ind w:left="405" w:hanging="405"/>
      </w:pPr>
      <w:rPr>
        <w:rFonts w:hint="default"/>
        <w:color w:val="2E74B5" w:themeColor="accent1" w:themeShade="BF"/>
      </w:rPr>
    </w:lvl>
    <w:lvl w:ilvl="1">
      <w:start w:val="1"/>
      <w:numFmt w:val="decimal"/>
      <w:lvlText w:val="%1.%2"/>
      <w:lvlJc w:val="left"/>
      <w:pPr>
        <w:ind w:left="405" w:hanging="405"/>
      </w:pPr>
      <w:rPr>
        <w:rFonts w:hint="default"/>
        <w:color w:val="2E74B5" w:themeColor="accent1" w:themeShade="BF"/>
      </w:rPr>
    </w:lvl>
    <w:lvl w:ilvl="2">
      <w:start w:val="1"/>
      <w:numFmt w:val="decimal"/>
      <w:lvlText w:val="%1.%2.%3"/>
      <w:lvlJc w:val="left"/>
      <w:pPr>
        <w:ind w:left="862" w:hanging="720"/>
      </w:pPr>
      <w:rPr>
        <w:rFonts w:hint="default"/>
        <w:b w:val="0"/>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4">
    <w:nsid w:val="30962890"/>
    <w:multiLevelType w:val="multilevel"/>
    <w:tmpl w:val="8BFE14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110599"/>
    <w:multiLevelType w:val="multilevel"/>
    <w:tmpl w:val="DFCE62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7CE70C9"/>
    <w:multiLevelType w:val="multilevel"/>
    <w:tmpl w:val="C448AA5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b w:val="0"/>
        <w:color w:val="5B9BD5" w:themeColor="accent1"/>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7">
    <w:nsid w:val="4D307B2F"/>
    <w:multiLevelType w:val="hybridMultilevel"/>
    <w:tmpl w:val="B734C9A4"/>
    <w:lvl w:ilvl="0" w:tplc="4C62C442">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5A436D5"/>
    <w:multiLevelType w:val="hybridMultilevel"/>
    <w:tmpl w:val="432085B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86154DA"/>
    <w:multiLevelType w:val="multilevel"/>
    <w:tmpl w:val="C448AA5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b w:val="0"/>
        <w:color w:val="5B9BD5" w:themeColor="accent1"/>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0">
    <w:nsid w:val="681F2B66"/>
    <w:multiLevelType w:val="hybridMultilevel"/>
    <w:tmpl w:val="5CE06536"/>
    <w:styleLink w:val="Estiloimportado7"/>
    <w:lvl w:ilvl="0" w:tplc="4D949886">
      <w:start w:val="1"/>
      <w:numFmt w:val="lowerLetter"/>
      <w:lvlText w:val="%1."/>
      <w:lvlJc w:val="left"/>
      <w:pPr>
        <w:ind w:left="1152"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200F27C">
      <w:start w:val="1"/>
      <w:numFmt w:val="lowerLetter"/>
      <w:lvlText w:val="%2."/>
      <w:lvlJc w:val="left"/>
      <w:pPr>
        <w:ind w:left="1872"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40B9D8">
      <w:start w:val="1"/>
      <w:numFmt w:val="lowerRoman"/>
      <w:lvlText w:val="%3."/>
      <w:lvlJc w:val="left"/>
      <w:pPr>
        <w:ind w:left="2592" w:hanging="294"/>
      </w:pPr>
      <w:rPr>
        <w:rFonts w:hAnsi="Arial Unicode MS"/>
        <w:caps w:val="0"/>
        <w:smallCaps w:val="0"/>
        <w:strike w:val="0"/>
        <w:dstrike w:val="0"/>
        <w:color w:val="000000"/>
        <w:spacing w:val="0"/>
        <w:w w:val="100"/>
        <w:kern w:val="0"/>
        <w:position w:val="0"/>
        <w:highlight w:val="none"/>
        <w:u w:val="none"/>
        <w:effect w:val="none"/>
        <w:vertAlign w:val="baseline"/>
      </w:rPr>
    </w:lvl>
    <w:lvl w:ilvl="3" w:tplc="3F68FEA8">
      <w:start w:val="1"/>
      <w:numFmt w:val="decimal"/>
      <w:lvlText w:val="%4."/>
      <w:lvlJc w:val="left"/>
      <w:pPr>
        <w:ind w:left="3312"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64C56BE">
      <w:start w:val="1"/>
      <w:numFmt w:val="lowerLetter"/>
      <w:lvlText w:val="%5."/>
      <w:lvlJc w:val="left"/>
      <w:pPr>
        <w:ind w:left="4032"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9C229C">
      <w:start w:val="1"/>
      <w:numFmt w:val="lowerRoman"/>
      <w:lvlText w:val="%6."/>
      <w:lvlJc w:val="left"/>
      <w:pPr>
        <w:ind w:left="4752" w:hanging="294"/>
      </w:pPr>
      <w:rPr>
        <w:rFonts w:hAnsi="Arial Unicode MS"/>
        <w:caps w:val="0"/>
        <w:smallCaps w:val="0"/>
        <w:strike w:val="0"/>
        <w:dstrike w:val="0"/>
        <w:color w:val="000000"/>
        <w:spacing w:val="0"/>
        <w:w w:val="100"/>
        <w:kern w:val="0"/>
        <w:position w:val="0"/>
        <w:highlight w:val="none"/>
        <w:u w:val="none"/>
        <w:effect w:val="none"/>
        <w:vertAlign w:val="baseline"/>
      </w:rPr>
    </w:lvl>
    <w:lvl w:ilvl="6" w:tplc="223EF2DA">
      <w:start w:val="1"/>
      <w:numFmt w:val="decimal"/>
      <w:lvlText w:val="%7."/>
      <w:lvlJc w:val="left"/>
      <w:pPr>
        <w:ind w:left="5472"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036033E">
      <w:start w:val="1"/>
      <w:numFmt w:val="lowerLetter"/>
      <w:lvlText w:val="%8."/>
      <w:lvlJc w:val="left"/>
      <w:pPr>
        <w:ind w:left="6192"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3D44306">
      <w:start w:val="1"/>
      <w:numFmt w:val="lowerRoman"/>
      <w:lvlText w:val="%9."/>
      <w:lvlJc w:val="left"/>
      <w:pPr>
        <w:ind w:left="6912" w:hanging="29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nsid w:val="756D1A79"/>
    <w:multiLevelType w:val="multilevel"/>
    <w:tmpl w:val="9520825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BDB5DA0"/>
    <w:multiLevelType w:val="hybridMultilevel"/>
    <w:tmpl w:val="1D9C7152"/>
    <w:lvl w:ilvl="0" w:tplc="B79C628C">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3"/>
  </w:num>
  <w:num w:numId="5">
    <w:abstractNumId w:val="7"/>
  </w:num>
  <w:num w:numId="6">
    <w:abstractNumId w:val="2"/>
  </w:num>
  <w:num w:numId="7">
    <w:abstractNumId w:val="12"/>
  </w:num>
  <w:num w:numId="8">
    <w:abstractNumId w:val="6"/>
  </w:num>
  <w:num w:numId="9">
    <w:abstractNumId w:val="11"/>
  </w:num>
  <w:num w:numId="10">
    <w:abstractNumId w:val="5"/>
  </w:num>
  <w:num w:numId="11">
    <w:abstractNumId w:val="4"/>
  </w:num>
  <w:num w:numId="12">
    <w:abstractNumId w:val="8"/>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2"/>
    <w:rsid w:val="00002449"/>
    <w:rsid w:val="00005262"/>
    <w:rsid w:val="00011F2B"/>
    <w:rsid w:val="00012E30"/>
    <w:rsid w:val="00013917"/>
    <w:rsid w:val="00014AB8"/>
    <w:rsid w:val="00015316"/>
    <w:rsid w:val="000156A1"/>
    <w:rsid w:val="000202EB"/>
    <w:rsid w:val="000206E9"/>
    <w:rsid w:val="000219AC"/>
    <w:rsid w:val="00021E65"/>
    <w:rsid w:val="000240E9"/>
    <w:rsid w:val="00024855"/>
    <w:rsid w:val="000260FF"/>
    <w:rsid w:val="000261CA"/>
    <w:rsid w:val="00032B11"/>
    <w:rsid w:val="000347DA"/>
    <w:rsid w:val="00040222"/>
    <w:rsid w:val="000423B8"/>
    <w:rsid w:val="000438EF"/>
    <w:rsid w:val="00045104"/>
    <w:rsid w:val="00047DDE"/>
    <w:rsid w:val="00051ECF"/>
    <w:rsid w:val="000532E0"/>
    <w:rsid w:val="00053BA9"/>
    <w:rsid w:val="0005528E"/>
    <w:rsid w:val="00060B9B"/>
    <w:rsid w:val="00061626"/>
    <w:rsid w:val="000645F4"/>
    <w:rsid w:val="00070C5B"/>
    <w:rsid w:val="000745D2"/>
    <w:rsid w:val="000754C3"/>
    <w:rsid w:val="00077CF4"/>
    <w:rsid w:val="00082D2D"/>
    <w:rsid w:val="00084D60"/>
    <w:rsid w:val="0008517A"/>
    <w:rsid w:val="00087226"/>
    <w:rsid w:val="00092466"/>
    <w:rsid w:val="0009373F"/>
    <w:rsid w:val="000A4099"/>
    <w:rsid w:val="000A42A1"/>
    <w:rsid w:val="000A4BDE"/>
    <w:rsid w:val="000A57B1"/>
    <w:rsid w:val="000A6C39"/>
    <w:rsid w:val="000A7A3D"/>
    <w:rsid w:val="000B5172"/>
    <w:rsid w:val="000B6518"/>
    <w:rsid w:val="000B6C97"/>
    <w:rsid w:val="000C1533"/>
    <w:rsid w:val="000C378F"/>
    <w:rsid w:val="000C519C"/>
    <w:rsid w:val="000C63A9"/>
    <w:rsid w:val="000C6BD0"/>
    <w:rsid w:val="000C6BD2"/>
    <w:rsid w:val="000C726E"/>
    <w:rsid w:val="000D2B1A"/>
    <w:rsid w:val="000D3BFA"/>
    <w:rsid w:val="000D610D"/>
    <w:rsid w:val="000D6A37"/>
    <w:rsid w:val="000D7F44"/>
    <w:rsid w:val="000E29E7"/>
    <w:rsid w:val="000E2B69"/>
    <w:rsid w:val="000E3A12"/>
    <w:rsid w:val="000E50ED"/>
    <w:rsid w:val="000E55BD"/>
    <w:rsid w:val="000F00E5"/>
    <w:rsid w:val="000F34D7"/>
    <w:rsid w:val="000F5C48"/>
    <w:rsid w:val="00100185"/>
    <w:rsid w:val="00105570"/>
    <w:rsid w:val="00106804"/>
    <w:rsid w:val="0010703B"/>
    <w:rsid w:val="00107B2A"/>
    <w:rsid w:val="001120A2"/>
    <w:rsid w:val="001128D9"/>
    <w:rsid w:val="0011309B"/>
    <w:rsid w:val="00113EEF"/>
    <w:rsid w:val="00114B4A"/>
    <w:rsid w:val="001163C2"/>
    <w:rsid w:val="00122CD7"/>
    <w:rsid w:val="00123A0C"/>
    <w:rsid w:val="001276CE"/>
    <w:rsid w:val="0013031F"/>
    <w:rsid w:val="00133CFF"/>
    <w:rsid w:val="001352F3"/>
    <w:rsid w:val="00137E30"/>
    <w:rsid w:val="00140197"/>
    <w:rsid w:val="0015267A"/>
    <w:rsid w:val="00152C22"/>
    <w:rsid w:val="00152CEB"/>
    <w:rsid w:val="00153995"/>
    <w:rsid w:val="00156EB4"/>
    <w:rsid w:val="0016064E"/>
    <w:rsid w:val="00163B00"/>
    <w:rsid w:val="00166173"/>
    <w:rsid w:val="001715F9"/>
    <w:rsid w:val="00173377"/>
    <w:rsid w:val="00174295"/>
    <w:rsid w:val="0019248E"/>
    <w:rsid w:val="00194DA4"/>
    <w:rsid w:val="00194FFD"/>
    <w:rsid w:val="00197795"/>
    <w:rsid w:val="001A1AC4"/>
    <w:rsid w:val="001A1E21"/>
    <w:rsid w:val="001A2F33"/>
    <w:rsid w:val="001A6503"/>
    <w:rsid w:val="001B105B"/>
    <w:rsid w:val="001B4BF1"/>
    <w:rsid w:val="001B627C"/>
    <w:rsid w:val="001C2DC6"/>
    <w:rsid w:val="001C32C0"/>
    <w:rsid w:val="001C4489"/>
    <w:rsid w:val="001C6839"/>
    <w:rsid w:val="001D2123"/>
    <w:rsid w:val="001D37D2"/>
    <w:rsid w:val="001E182D"/>
    <w:rsid w:val="001E3869"/>
    <w:rsid w:val="001E58EE"/>
    <w:rsid w:val="001E6CD0"/>
    <w:rsid w:val="001E7153"/>
    <w:rsid w:val="001F0959"/>
    <w:rsid w:val="001F6216"/>
    <w:rsid w:val="001F756A"/>
    <w:rsid w:val="001F7C79"/>
    <w:rsid w:val="00202BE1"/>
    <w:rsid w:val="00206611"/>
    <w:rsid w:val="002070E6"/>
    <w:rsid w:val="00207F11"/>
    <w:rsid w:val="0021453F"/>
    <w:rsid w:val="002160A4"/>
    <w:rsid w:val="00217759"/>
    <w:rsid w:val="0021792E"/>
    <w:rsid w:val="00221345"/>
    <w:rsid w:val="00222177"/>
    <w:rsid w:val="00230A00"/>
    <w:rsid w:val="002323DF"/>
    <w:rsid w:val="00232B8C"/>
    <w:rsid w:val="00233098"/>
    <w:rsid w:val="0023455E"/>
    <w:rsid w:val="00237E15"/>
    <w:rsid w:val="002436B7"/>
    <w:rsid w:val="002477C5"/>
    <w:rsid w:val="002517CB"/>
    <w:rsid w:val="00251857"/>
    <w:rsid w:val="00257AC0"/>
    <w:rsid w:val="00260E3F"/>
    <w:rsid w:val="002616D2"/>
    <w:rsid w:val="002642BD"/>
    <w:rsid w:val="00264A3A"/>
    <w:rsid w:val="00264C47"/>
    <w:rsid w:val="002669F5"/>
    <w:rsid w:val="00272BC1"/>
    <w:rsid w:val="00273325"/>
    <w:rsid w:val="0027469F"/>
    <w:rsid w:val="00274E9C"/>
    <w:rsid w:val="002750C5"/>
    <w:rsid w:val="00275E7A"/>
    <w:rsid w:val="00277566"/>
    <w:rsid w:val="00280AC7"/>
    <w:rsid w:val="00281770"/>
    <w:rsid w:val="00283143"/>
    <w:rsid w:val="00283E36"/>
    <w:rsid w:val="00286EB8"/>
    <w:rsid w:val="00293D77"/>
    <w:rsid w:val="00297441"/>
    <w:rsid w:val="002A0078"/>
    <w:rsid w:val="002A0E58"/>
    <w:rsid w:val="002A14F7"/>
    <w:rsid w:val="002A21B4"/>
    <w:rsid w:val="002A4AEC"/>
    <w:rsid w:val="002A6064"/>
    <w:rsid w:val="002B1E2B"/>
    <w:rsid w:val="002B4E66"/>
    <w:rsid w:val="002B5373"/>
    <w:rsid w:val="002B584D"/>
    <w:rsid w:val="002B5C2B"/>
    <w:rsid w:val="002C1C21"/>
    <w:rsid w:val="002C20CC"/>
    <w:rsid w:val="002C42FD"/>
    <w:rsid w:val="002C5188"/>
    <w:rsid w:val="002C622D"/>
    <w:rsid w:val="002D1142"/>
    <w:rsid w:val="002D192B"/>
    <w:rsid w:val="002D26B3"/>
    <w:rsid w:val="002D435D"/>
    <w:rsid w:val="002E0D20"/>
    <w:rsid w:val="002E101B"/>
    <w:rsid w:val="002E138E"/>
    <w:rsid w:val="00300501"/>
    <w:rsid w:val="00301667"/>
    <w:rsid w:val="003017BE"/>
    <w:rsid w:val="00302767"/>
    <w:rsid w:val="00302775"/>
    <w:rsid w:val="00302C8F"/>
    <w:rsid w:val="00303D72"/>
    <w:rsid w:val="003041EF"/>
    <w:rsid w:val="0030422E"/>
    <w:rsid w:val="00305571"/>
    <w:rsid w:val="00311B37"/>
    <w:rsid w:val="0031304E"/>
    <w:rsid w:val="003140FE"/>
    <w:rsid w:val="00315BE9"/>
    <w:rsid w:val="003161AB"/>
    <w:rsid w:val="0032180F"/>
    <w:rsid w:val="003225E1"/>
    <w:rsid w:val="003233CB"/>
    <w:rsid w:val="0032372D"/>
    <w:rsid w:val="0032743C"/>
    <w:rsid w:val="00332737"/>
    <w:rsid w:val="00334F86"/>
    <w:rsid w:val="00335354"/>
    <w:rsid w:val="0033620A"/>
    <w:rsid w:val="00343A51"/>
    <w:rsid w:val="00346A80"/>
    <w:rsid w:val="00346D21"/>
    <w:rsid w:val="003509AA"/>
    <w:rsid w:val="00351725"/>
    <w:rsid w:val="00354B49"/>
    <w:rsid w:val="00356A91"/>
    <w:rsid w:val="00360B8B"/>
    <w:rsid w:val="003621B5"/>
    <w:rsid w:val="0036306D"/>
    <w:rsid w:val="003643D7"/>
    <w:rsid w:val="00364F61"/>
    <w:rsid w:val="00365A45"/>
    <w:rsid w:val="00371BEB"/>
    <w:rsid w:val="00371C1C"/>
    <w:rsid w:val="003814C7"/>
    <w:rsid w:val="00382693"/>
    <w:rsid w:val="00386FA7"/>
    <w:rsid w:val="0039050D"/>
    <w:rsid w:val="00392BB2"/>
    <w:rsid w:val="00396169"/>
    <w:rsid w:val="00396211"/>
    <w:rsid w:val="003A1638"/>
    <w:rsid w:val="003A4B47"/>
    <w:rsid w:val="003B3713"/>
    <w:rsid w:val="003B6AFB"/>
    <w:rsid w:val="003B718C"/>
    <w:rsid w:val="003C0F13"/>
    <w:rsid w:val="003C1687"/>
    <w:rsid w:val="003C2774"/>
    <w:rsid w:val="003C34D3"/>
    <w:rsid w:val="003C41A5"/>
    <w:rsid w:val="003C5C1A"/>
    <w:rsid w:val="003C6008"/>
    <w:rsid w:val="003C76EC"/>
    <w:rsid w:val="003E35E8"/>
    <w:rsid w:val="003E4A6F"/>
    <w:rsid w:val="003E7759"/>
    <w:rsid w:val="003E7830"/>
    <w:rsid w:val="003E7E1B"/>
    <w:rsid w:val="003F062C"/>
    <w:rsid w:val="003F084B"/>
    <w:rsid w:val="003F1A85"/>
    <w:rsid w:val="003F1B83"/>
    <w:rsid w:val="003F4BC4"/>
    <w:rsid w:val="003F4F86"/>
    <w:rsid w:val="003F5014"/>
    <w:rsid w:val="00400954"/>
    <w:rsid w:val="00400F87"/>
    <w:rsid w:val="00407C73"/>
    <w:rsid w:val="00412D7D"/>
    <w:rsid w:val="00417FE2"/>
    <w:rsid w:val="004215DB"/>
    <w:rsid w:val="00421D51"/>
    <w:rsid w:val="0042504F"/>
    <w:rsid w:val="004254A4"/>
    <w:rsid w:val="004271A8"/>
    <w:rsid w:val="004344DE"/>
    <w:rsid w:val="00436D3C"/>
    <w:rsid w:val="00437CF7"/>
    <w:rsid w:val="00440B29"/>
    <w:rsid w:val="004449B4"/>
    <w:rsid w:val="00445A52"/>
    <w:rsid w:val="004461B9"/>
    <w:rsid w:val="0044642F"/>
    <w:rsid w:val="00447CB3"/>
    <w:rsid w:val="004507F7"/>
    <w:rsid w:val="00452E5E"/>
    <w:rsid w:val="004533AD"/>
    <w:rsid w:val="004550E3"/>
    <w:rsid w:val="00457BCC"/>
    <w:rsid w:val="00460644"/>
    <w:rsid w:val="00470513"/>
    <w:rsid w:val="00472C86"/>
    <w:rsid w:val="00475BE2"/>
    <w:rsid w:val="00475E2D"/>
    <w:rsid w:val="00476CC5"/>
    <w:rsid w:val="00477DE6"/>
    <w:rsid w:val="004806C3"/>
    <w:rsid w:val="00482312"/>
    <w:rsid w:val="00483155"/>
    <w:rsid w:val="0048456E"/>
    <w:rsid w:val="00484B56"/>
    <w:rsid w:val="004869B9"/>
    <w:rsid w:val="004918AA"/>
    <w:rsid w:val="00493902"/>
    <w:rsid w:val="004968FF"/>
    <w:rsid w:val="004974C2"/>
    <w:rsid w:val="00497754"/>
    <w:rsid w:val="004A16F6"/>
    <w:rsid w:val="004A1942"/>
    <w:rsid w:val="004A25C4"/>
    <w:rsid w:val="004A38E8"/>
    <w:rsid w:val="004A66A9"/>
    <w:rsid w:val="004B0E3E"/>
    <w:rsid w:val="004B2182"/>
    <w:rsid w:val="004B5823"/>
    <w:rsid w:val="004B5F80"/>
    <w:rsid w:val="004C1033"/>
    <w:rsid w:val="004C2C56"/>
    <w:rsid w:val="004C2EE8"/>
    <w:rsid w:val="004C3BCE"/>
    <w:rsid w:val="004C4BEC"/>
    <w:rsid w:val="004C74AF"/>
    <w:rsid w:val="004C7646"/>
    <w:rsid w:val="004D0F38"/>
    <w:rsid w:val="004D1749"/>
    <w:rsid w:val="004D2819"/>
    <w:rsid w:val="004D2A6B"/>
    <w:rsid w:val="004D3AD5"/>
    <w:rsid w:val="004D3F42"/>
    <w:rsid w:val="004D5E04"/>
    <w:rsid w:val="004D71F4"/>
    <w:rsid w:val="004D7A9E"/>
    <w:rsid w:val="004E12EC"/>
    <w:rsid w:val="004E1B8B"/>
    <w:rsid w:val="004E583C"/>
    <w:rsid w:val="004E6A6F"/>
    <w:rsid w:val="004F0CCD"/>
    <w:rsid w:val="004F26A6"/>
    <w:rsid w:val="004F34A5"/>
    <w:rsid w:val="004F76A4"/>
    <w:rsid w:val="0050217C"/>
    <w:rsid w:val="0050391C"/>
    <w:rsid w:val="0051104A"/>
    <w:rsid w:val="00517787"/>
    <w:rsid w:val="00524D33"/>
    <w:rsid w:val="00533A24"/>
    <w:rsid w:val="005359A5"/>
    <w:rsid w:val="00535FF0"/>
    <w:rsid w:val="00536B38"/>
    <w:rsid w:val="00536DA3"/>
    <w:rsid w:val="00540BC5"/>
    <w:rsid w:val="00542959"/>
    <w:rsid w:val="00546000"/>
    <w:rsid w:val="00547169"/>
    <w:rsid w:val="0054742E"/>
    <w:rsid w:val="005501CF"/>
    <w:rsid w:val="0055136E"/>
    <w:rsid w:val="00551BA4"/>
    <w:rsid w:val="00554359"/>
    <w:rsid w:val="00563268"/>
    <w:rsid w:val="00564FA7"/>
    <w:rsid w:val="0056570D"/>
    <w:rsid w:val="00567677"/>
    <w:rsid w:val="00573E65"/>
    <w:rsid w:val="00574EC2"/>
    <w:rsid w:val="005765D6"/>
    <w:rsid w:val="00576D68"/>
    <w:rsid w:val="00580F72"/>
    <w:rsid w:val="00581156"/>
    <w:rsid w:val="005829FE"/>
    <w:rsid w:val="00583075"/>
    <w:rsid w:val="005866A0"/>
    <w:rsid w:val="00590D4C"/>
    <w:rsid w:val="0059165A"/>
    <w:rsid w:val="00593F24"/>
    <w:rsid w:val="00595FA4"/>
    <w:rsid w:val="005A0EFC"/>
    <w:rsid w:val="005A1FB8"/>
    <w:rsid w:val="005A3015"/>
    <w:rsid w:val="005A42F5"/>
    <w:rsid w:val="005A515F"/>
    <w:rsid w:val="005B202F"/>
    <w:rsid w:val="005B3160"/>
    <w:rsid w:val="005B4C8F"/>
    <w:rsid w:val="005C011F"/>
    <w:rsid w:val="005C33D6"/>
    <w:rsid w:val="005C3724"/>
    <w:rsid w:val="005C520A"/>
    <w:rsid w:val="005C6972"/>
    <w:rsid w:val="005D0296"/>
    <w:rsid w:val="005D4263"/>
    <w:rsid w:val="005D4B98"/>
    <w:rsid w:val="005D5E45"/>
    <w:rsid w:val="005D70EF"/>
    <w:rsid w:val="005D7144"/>
    <w:rsid w:val="005E01C0"/>
    <w:rsid w:val="005E3D48"/>
    <w:rsid w:val="005E4314"/>
    <w:rsid w:val="005E43C8"/>
    <w:rsid w:val="005E796D"/>
    <w:rsid w:val="005F0CCC"/>
    <w:rsid w:val="005F1DEF"/>
    <w:rsid w:val="005F5AD2"/>
    <w:rsid w:val="005F7FC9"/>
    <w:rsid w:val="006036A7"/>
    <w:rsid w:val="00604CE5"/>
    <w:rsid w:val="006062E5"/>
    <w:rsid w:val="00611EDF"/>
    <w:rsid w:val="006126E6"/>
    <w:rsid w:val="006134A9"/>
    <w:rsid w:val="00616DC7"/>
    <w:rsid w:val="006176EF"/>
    <w:rsid w:val="00617E61"/>
    <w:rsid w:val="00620928"/>
    <w:rsid w:val="00623AAC"/>
    <w:rsid w:val="00623BC7"/>
    <w:rsid w:val="0062726F"/>
    <w:rsid w:val="00631BCE"/>
    <w:rsid w:val="00632B63"/>
    <w:rsid w:val="00634AF3"/>
    <w:rsid w:val="006368BF"/>
    <w:rsid w:val="00637C1F"/>
    <w:rsid w:val="00637DCB"/>
    <w:rsid w:val="00640BD1"/>
    <w:rsid w:val="00642392"/>
    <w:rsid w:val="00642728"/>
    <w:rsid w:val="00642EC0"/>
    <w:rsid w:val="00644747"/>
    <w:rsid w:val="006447CA"/>
    <w:rsid w:val="006507BE"/>
    <w:rsid w:val="0065245B"/>
    <w:rsid w:val="00652665"/>
    <w:rsid w:val="00653719"/>
    <w:rsid w:val="00656068"/>
    <w:rsid w:val="00656540"/>
    <w:rsid w:val="006566D6"/>
    <w:rsid w:val="00657EE0"/>
    <w:rsid w:val="00665DCE"/>
    <w:rsid w:val="006665E3"/>
    <w:rsid w:val="00666CF9"/>
    <w:rsid w:val="00666E1A"/>
    <w:rsid w:val="00667033"/>
    <w:rsid w:val="006676F3"/>
    <w:rsid w:val="0067303D"/>
    <w:rsid w:val="00673331"/>
    <w:rsid w:val="00675A5E"/>
    <w:rsid w:val="006805AD"/>
    <w:rsid w:val="00682001"/>
    <w:rsid w:val="0068685D"/>
    <w:rsid w:val="00697EAC"/>
    <w:rsid w:val="006A158E"/>
    <w:rsid w:val="006A16EB"/>
    <w:rsid w:val="006A20BD"/>
    <w:rsid w:val="006A2F30"/>
    <w:rsid w:val="006A53DA"/>
    <w:rsid w:val="006A58F5"/>
    <w:rsid w:val="006A6B2C"/>
    <w:rsid w:val="006A7FC7"/>
    <w:rsid w:val="006B34C6"/>
    <w:rsid w:val="006B7B44"/>
    <w:rsid w:val="006C3223"/>
    <w:rsid w:val="006C5000"/>
    <w:rsid w:val="006D20AA"/>
    <w:rsid w:val="006D46B1"/>
    <w:rsid w:val="006D5688"/>
    <w:rsid w:val="006D665D"/>
    <w:rsid w:val="006E31A9"/>
    <w:rsid w:val="006E4B27"/>
    <w:rsid w:val="006E5A8A"/>
    <w:rsid w:val="006F16D3"/>
    <w:rsid w:val="006F2938"/>
    <w:rsid w:val="006F6011"/>
    <w:rsid w:val="007054CA"/>
    <w:rsid w:val="0070604B"/>
    <w:rsid w:val="00706B2F"/>
    <w:rsid w:val="007076DD"/>
    <w:rsid w:val="00710130"/>
    <w:rsid w:val="0071269E"/>
    <w:rsid w:val="00712CB0"/>
    <w:rsid w:val="0071718C"/>
    <w:rsid w:val="00720FA5"/>
    <w:rsid w:val="007214EB"/>
    <w:rsid w:val="00722C76"/>
    <w:rsid w:val="00723B3B"/>
    <w:rsid w:val="00724807"/>
    <w:rsid w:val="00724BC0"/>
    <w:rsid w:val="00731D24"/>
    <w:rsid w:val="00731E94"/>
    <w:rsid w:val="00734009"/>
    <w:rsid w:val="007372F2"/>
    <w:rsid w:val="00737B64"/>
    <w:rsid w:val="0074381F"/>
    <w:rsid w:val="00743D14"/>
    <w:rsid w:val="00744F83"/>
    <w:rsid w:val="007458BD"/>
    <w:rsid w:val="00745EBC"/>
    <w:rsid w:val="0075119E"/>
    <w:rsid w:val="00751DB3"/>
    <w:rsid w:val="007541BC"/>
    <w:rsid w:val="00760BC8"/>
    <w:rsid w:val="00762D70"/>
    <w:rsid w:val="00765449"/>
    <w:rsid w:val="00766B59"/>
    <w:rsid w:val="0077045A"/>
    <w:rsid w:val="0077061B"/>
    <w:rsid w:val="0077161A"/>
    <w:rsid w:val="007736F2"/>
    <w:rsid w:val="00776443"/>
    <w:rsid w:val="007773F6"/>
    <w:rsid w:val="00780E4C"/>
    <w:rsid w:val="0078222B"/>
    <w:rsid w:val="0078284D"/>
    <w:rsid w:val="007832C9"/>
    <w:rsid w:val="00785A3C"/>
    <w:rsid w:val="0078679B"/>
    <w:rsid w:val="0078791C"/>
    <w:rsid w:val="0079043F"/>
    <w:rsid w:val="00791C03"/>
    <w:rsid w:val="00791D82"/>
    <w:rsid w:val="00793CEA"/>
    <w:rsid w:val="00796B79"/>
    <w:rsid w:val="00797718"/>
    <w:rsid w:val="007A17E6"/>
    <w:rsid w:val="007A1AD0"/>
    <w:rsid w:val="007A5973"/>
    <w:rsid w:val="007A6819"/>
    <w:rsid w:val="007A7E75"/>
    <w:rsid w:val="007B0C48"/>
    <w:rsid w:val="007B2176"/>
    <w:rsid w:val="007B26D8"/>
    <w:rsid w:val="007B40F2"/>
    <w:rsid w:val="007B4DC5"/>
    <w:rsid w:val="007C1C02"/>
    <w:rsid w:val="007C2F7B"/>
    <w:rsid w:val="007C3525"/>
    <w:rsid w:val="007C3D66"/>
    <w:rsid w:val="007C5956"/>
    <w:rsid w:val="007C5A10"/>
    <w:rsid w:val="007C7539"/>
    <w:rsid w:val="007C7B67"/>
    <w:rsid w:val="007D0209"/>
    <w:rsid w:val="007D1426"/>
    <w:rsid w:val="007D1E14"/>
    <w:rsid w:val="007D365E"/>
    <w:rsid w:val="007D3A5A"/>
    <w:rsid w:val="007D5281"/>
    <w:rsid w:val="007D6076"/>
    <w:rsid w:val="007D69F9"/>
    <w:rsid w:val="007E0C51"/>
    <w:rsid w:val="007E0E70"/>
    <w:rsid w:val="007E1668"/>
    <w:rsid w:val="007E4D99"/>
    <w:rsid w:val="007E5AA3"/>
    <w:rsid w:val="007E6955"/>
    <w:rsid w:val="007F1440"/>
    <w:rsid w:val="007F177C"/>
    <w:rsid w:val="007F46C8"/>
    <w:rsid w:val="007F4734"/>
    <w:rsid w:val="007F514A"/>
    <w:rsid w:val="007F6D8C"/>
    <w:rsid w:val="007F7A0A"/>
    <w:rsid w:val="00803FB6"/>
    <w:rsid w:val="00805E74"/>
    <w:rsid w:val="00806A21"/>
    <w:rsid w:val="0080719F"/>
    <w:rsid w:val="0080738A"/>
    <w:rsid w:val="00810F1B"/>
    <w:rsid w:val="008125E8"/>
    <w:rsid w:val="00812939"/>
    <w:rsid w:val="0081505D"/>
    <w:rsid w:val="00816AF0"/>
    <w:rsid w:val="008202CA"/>
    <w:rsid w:val="00822E09"/>
    <w:rsid w:val="008230DF"/>
    <w:rsid w:val="00824DB1"/>
    <w:rsid w:val="008310FB"/>
    <w:rsid w:val="0083215A"/>
    <w:rsid w:val="00832CEC"/>
    <w:rsid w:val="0083389C"/>
    <w:rsid w:val="00834A83"/>
    <w:rsid w:val="00834B7E"/>
    <w:rsid w:val="008372FC"/>
    <w:rsid w:val="00837BF1"/>
    <w:rsid w:val="0084531F"/>
    <w:rsid w:val="00846D4F"/>
    <w:rsid w:val="00847069"/>
    <w:rsid w:val="00850798"/>
    <w:rsid w:val="0085438E"/>
    <w:rsid w:val="008552BB"/>
    <w:rsid w:val="00855BD6"/>
    <w:rsid w:val="00855EE9"/>
    <w:rsid w:val="00856B91"/>
    <w:rsid w:val="0085712F"/>
    <w:rsid w:val="00864E77"/>
    <w:rsid w:val="0086516C"/>
    <w:rsid w:val="0086518C"/>
    <w:rsid w:val="008652E2"/>
    <w:rsid w:val="00866684"/>
    <w:rsid w:val="008671B3"/>
    <w:rsid w:val="00871D4C"/>
    <w:rsid w:val="00874AD8"/>
    <w:rsid w:val="0088023F"/>
    <w:rsid w:val="008854E4"/>
    <w:rsid w:val="008872E8"/>
    <w:rsid w:val="00887702"/>
    <w:rsid w:val="00891BFA"/>
    <w:rsid w:val="00891DC9"/>
    <w:rsid w:val="00897F71"/>
    <w:rsid w:val="008A1471"/>
    <w:rsid w:val="008A3104"/>
    <w:rsid w:val="008A3D6B"/>
    <w:rsid w:val="008A4BB5"/>
    <w:rsid w:val="008B40DC"/>
    <w:rsid w:val="008B5E99"/>
    <w:rsid w:val="008C270E"/>
    <w:rsid w:val="008C39BB"/>
    <w:rsid w:val="008C4ABD"/>
    <w:rsid w:val="008D1A5D"/>
    <w:rsid w:val="008D36B8"/>
    <w:rsid w:val="008D46E4"/>
    <w:rsid w:val="008D7C9E"/>
    <w:rsid w:val="008E0E70"/>
    <w:rsid w:val="008E27B9"/>
    <w:rsid w:val="008E750E"/>
    <w:rsid w:val="008F1881"/>
    <w:rsid w:val="00900535"/>
    <w:rsid w:val="00902CC3"/>
    <w:rsid w:val="00907464"/>
    <w:rsid w:val="009145F1"/>
    <w:rsid w:val="00915462"/>
    <w:rsid w:val="00917EA0"/>
    <w:rsid w:val="00920CDF"/>
    <w:rsid w:val="009261E5"/>
    <w:rsid w:val="00932099"/>
    <w:rsid w:val="00934004"/>
    <w:rsid w:val="00941326"/>
    <w:rsid w:val="00944336"/>
    <w:rsid w:val="009468BC"/>
    <w:rsid w:val="00952675"/>
    <w:rsid w:val="00956B7C"/>
    <w:rsid w:val="00957CA1"/>
    <w:rsid w:val="00962B1E"/>
    <w:rsid w:val="00964184"/>
    <w:rsid w:val="009673B0"/>
    <w:rsid w:val="009730CC"/>
    <w:rsid w:val="00973D76"/>
    <w:rsid w:val="00985026"/>
    <w:rsid w:val="0098506B"/>
    <w:rsid w:val="00985E42"/>
    <w:rsid w:val="00991989"/>
    <w:rsid w:val="00991A10"/>
    <w:rsid w:val="00993125"/>
    <w:rsid w:val="00994C26"/>
    <w:rsid w:val="009955DC"/>
    <w:rsid w:val="00997662"/>
    <w:rsid w:val="00997952"/>
    <w:rsid w:val="00997961"/>
    <w:rsid w:val="009A008E"/>
    <w:rsid w:val="009A1B11"/>
    <w:rsid w:val="009A298C"/>
    <w:rsid w:val="009A3465"/>
    <w:rsid w:val="009A53C9"/>
    <w:rsid w:val="009A5DFF"/>
    <w:rsid w:val="009B1275"/>
    <w:rsid w:val="009B5D8A"/>
    <w:rsid w:val="009B6267"/>
    <w:rsid w:val="009B6457"/>
    <w:rsid w:val="009B68E4"/>
    <w:rsid w:val="009C1675"/>
    <w:rsid w:val="009C3027"/>
    <w:rsid w:val="009C3201"/>
    <w:rsid w:val="009C41A1"/>
    <w:rsid w:val="009C53FA"/>
    <w:rsid w:val="009C61BC"/>
    <w:rsid w:val="009D1B97"/>
    <w:rsid w:val="009D26AB"/>
    <w:rsid w:val="009D30C1"/>
    <w:rsid w:val="009D47FF"/>
    <w:rsid w:val="009E54D9"/>
    <w:rsid w:val="009E635A"/>
    <w:rsid w:val="009F1D5F"/>
    <w:rsid w:val="009F1D8F"/>
    <w:rsid w:val="009F4BD8"/>
    <w:rsid w:val="009F530D"/>
    <w:rsid w:val="009F62CA"/>
    <w:rsid w:val="00A011F7"/>
    <w:rsid w:val="00A03035"/>
    <w:rsid w:val="00A04BBD"/>
    <w:rsid w:val="00A10090"/>
    <w:rsid w:val="00A10F7C"/>
    <w:rsid w:val="00A13420"/>
    <w:rsid w:val="00A1486D"/>
    <w:rsid w:val="00A20072"/>
    <w:rsid w:val="00A20D75"/>
    <w:rsid w:val="00A20E37"/>
    <w:rsid w:val="00A23D98"/>
    <w:rsid w:val="00A24FBB"/>
    <w:rsid w:val="00A26703"/>
    <w:rsid w:val="00A272CA"/>
    <w:rsid w:val="00A305E2"/>
    <w:rsid w:val="00A31B1D"/>
    <w:rsid w:val="00A31F11"/>
    <w:rsid w:val="00A346FC"/>
    <w:rsid w:val="00A355E7"/>
    <w:rsid w:val="00A3605A"/>
    <w:rsid w:val="00A37DE0"/>
    <w:rsid w:val="00A41075"/>
    <w:rsid w:val="00A441EE"/>
    <w:rsid w:val="00A44FC1"/>
    <w:rsid w:val="00A46C5D"/>
    <w:rsid w:val="00A46CD4"/>
    <w:rsid w:val="00A473BB"/>
    <w:rsid w:val="00A52884"/>
    <w:rsid w:val="00A52E6B"/>
    <w:rsid w:val="00A538F9"/>
    <w:rsid w:val="00A60629"/>
    <w:rsid w:val="00A61591"/>
    <w:rsid w:val="00A6539D"/>
    <w:rsid w:val="00A6640D"/>
    <w:rsid w:val="00A664BD"/>
    <w:rsid w:val="00A66E21"/>
    <w:rsid w:val="00A701DD"/>
    <w:rsid w:val="00A72933"/>
    <w:rsid w:val="00A778B8"/>
    <w:rsid w:val="00A81614"/>
    <w:rsid w:val="00A823E0"/>
    <w:rsid w:val="00A83483"/>
    <w:rsid w:val="00A845AA"/>
    <w:rsid w:val="00A860F0"/>
    <w:rsid w:val="00A873E9"/>
    <w:rsid w:val="00A90059"/>
    <w:rsid w:val="00A90EB3"/>
    <w:rsid w:val="00A91F92"/>
    <w:rsid w:val="00A94502"/>
    <w:rsid w:val="00A95367"/>
    <w:rsid w:val="00AA0870"/>
    <w:rsid w:val="00AA54BC"/>
    <w:rsid w:val="00AA5D3E"/>
    <w:rsid w:val="00AA62F2"/>
    <w:rsid w:val="00AB16EC"/>
    <w:rsid w:val="00AB478E"/>
    <w:rsid w:val="00AB5641"/>
    <w:rsid w:val="00AC092C"/>
    <w:rsid w:val="00AC1B25"/>
    <w:rsid w:val="00AC1CAA"/>
    <w:rsid w:val="00AC1F37"/>
    <w:rsid w:val="00AC46D2"/>
    <w:rsid w:val="00AD002D"/>
    <w:rsid w:val="00AD0273"/>
    <w:rsid w:val="00AD0A69"/>
    <w:rsid w:val="00AD1582"/>
    <w:rsid w:val="00AD2A7B"/>
    <w:rsid w:val="00AD42BF"/>
    <w:rsid w:val="00AD77E1"/>
    <w:rsid w:val="00AE2534"/>
    <w:rsid w:val="00AE2797"/>
    <w:rsid w:val="00AE2AA8"/>
    <w:rsid w:val="00AE3123"/>
    <w:rsid w:val="00AE36D7"/>
    <w:rsid w:val="00AF1EBC"/>
    <w:rsid w:val="00AF2374"/>
    <w:rsid w:val="00AF311A"/>
    <w:rsid w:val="00AF3747"/>
    <w:rsid w:val="00AF58FA"/>
    <w:rsid w:val="00AF6EA8"/>
    <w:rsid w:val="00B0133E"/>
    <w:rsid w:val="00B0265C"/>
    <w:rsid w:val="00B02A2F"/>
    <w:rsid w:val="00B04103"/>
    <w:rsid w:val="00B0465C"/>
    <w:rsid w:val="00B064CE"/>
    <w:rsid w:val="00B1102D"/>
    <w:rsid w:val="00B11777"/>
    <w:rsid w:val="00B12BBE"/>
    <w:rsid w:val="00B13CF4"/>
    <w:rsid w:val="00B14145"/>
    <w:rsid w:val="00B14A37"/>
    <w:rsid w:val="00B14C27"/>
    <w:rsid w:val="00B17949"/>
    <w:rsid w:val="00B22A27"/>
    <w:rsid w:val="00B238DC"/>
    <w:rsid w:val="00B250DE"/>
    <w:rsid w:val="00B2523A"/>
    <w:rsid w:val="00B26011"/>
    <w:rsid w:val="00B30B9D"/>
    <w:rsid w:val="00B32534"/>
    <w:rsid w:val="00B34DCF"/>
    <w:rsid w:val="00B356F9"/>
    <w:rsid w:val="00B36B65"/>
    <w:rsid w:val="00B37034"/>
    <w:rsid w:val="00B44399"/>
    <w:rsid w:val="00B4632B"/>
    <w:rsid w:val="00B46797"/>
    <w:rsid w:val="00B46900"/>
    <w:rsid w:val="00B472D2"/>
    <w:rsid w:val="00B51242"/>
    <w:rsid w:val="00B56647"/>
    <w:rsid w:val="00B605BD"/>
    <w:rsid w:val="00B61262"/>
    <w:rsid w:val="00B62C94"/>
    <w:rsid w:val="00B6384F"/>
    <w:rsid w:val="00B71379"/>
    <w:rsid w:val="00B720E6"/>
    <w:rsid w:val="00B738DA"/>
    <w:rsid w:val="00B74462"/>
    <w:rsid w:val="00B7550E"/>
    <w:rsid w:val="00B76FCD"/>
    <w:rsid w:val="00B804B7"/>
    <w:rsid w:val="00B84B81"/>
    <w:rsid w:val="00B84BC8"/>
    <w:rsid w:val="00B85579"/>
    <w:rsid w:val="00B915CD"/>
    <w:rsid w:val="00B91ED2"/>
    <w:rsid w:val="00B91F0B"/>
    <w:rsid w:val="00B97109"/>
    <w:rsid w:val="00BA1648"/>
    <w:rsid w:val="00BA1BB2"/>
    <w:rsid w:val="00BA35AF"/>
    <w:rsid w:val="00BA4457"/>
    <w:rsid w:val="00BA4CBC"/>
    <w:rsid w:val="00BA6F97"/>
    <w:rsid w:val="00BB3D2B"/>
    <w:rsid w:val="00BB49D2"/>
    <w:rsid w:val="00BB5918"/>
    <w:rsid w:val="00BB6F1D"/>
    <w:rsid w:val="00BC142F"/>
    <w:rsid w:val="00BC2D59"/>
    <w:rsid w:val="00BC409F"/>
    <w:rsid w:val="00BC61A9"/>
    <w:rsid w:val="00BC7860"/>
    <w:rsid w:val="00BC7971"/>
    <w:rsid w:val="00BD2BB4"/>
    <w:rsid w:val="00BD5E40"/>
    <w:rsid w:val="00BE079C"/>
    <w:rsid w:val="00BE235F"/>
    <w:rsid w:val="00BE46FB"/>
    <w:rsid w:val="00BE5E02"/>
    <w:rsid w:val="00BF6CD2"/>
    <w:rsid w:val="00C002CD"/>
    <w:rsid w:val="00C0065D"/>
    <w:rsid w:val="00C00B37"/>
    <w:rsid w:val="00C05B74"/>
    <w:rsid w:val="00C064C1"/>
    <w:rsid w:val="00C066BB"/>
    <w:rsid w:val="00C069AA"/>
    <w:rsid w:val="00C115E4"/>
    <w:rsid w:val="00C14F13"/>
    <w:rsid w:val="00C15A56"/>
    <w:rsid w:val="00C200ED"/>
    <w:rsid w:val="00C21BBE"/>
    <w:rsid w:val="00C23BE9"/>
    <w:rsid w:val="00C250B1"/>
    <w:rsid w:val="00C3371F"/>
    <w:rsid w:val="00C362AB"/>
    <w:rsid w:val="00C41B1F"/>
    <w:rsid w:val="00C444CB"/>
    <w:rsid w:val="00C453D2"/>
    <w:rsid w:val="00C46573"/>
    <w:rsid w:val="00C473DD"/>
    <w:rsid w:val="00C51B1C"/>
    <w:rsid w:val="00C5253D"/>
    <w:rsid w:val="00C55FA1"/>
    <w:rsid w:val="00C60343"/>
    <w:rsid w:val="00C620D5"/>
    <w:rsid w:val="00C62E98"/>
    <w:rsid w:val="00C63110"/>
    <w:rsid w:val="00C654C1"/>
    <w:rsid w:val="00C65BAC"/>
    <w:rsid w:val="00C65C9A"/>
    <w:rsid w:val="00C72209"/>
    <w:rsid w:val="00C72DA1"/>
    <w:rsid w:val="00C736F6"/>
    <w:rsid w:val="00C74F85"/>
    <w:rsid w:val="00C75A58"/>
    <w:rsid w:val="00C76929"/>
    <w:rsid w:val="00C77DE6"/>
    <w:rsid w:val="00C80685"/>
    <w:rsid w:val="00C80C80"/>
    <w:rsid w:val="00C810A4"/>
    <w:rsid w:val="00C82F9D"/>
    <w:rsid w:val="00C83576"/>
    <w:rsid w:val="00C84073"/>
    <w:rsid w:val="00C856F6"/>
    <w:rsid w:val="00C91013"/>
    <w:rsid w:val="00C935C3"/>
    <w:rsid w:val="00C93CA5"/>
    <w:rsid w:val="00C942AF"/>
    <w:rsid w:val="00C95BDC"/>
    <w:rsid w:val="00C96025"/>
    <w:rsid w:val="00C96A65"/>
    <w:rsid w:val="00CA032E"/>
    <w:rsid w:val="00CA22A4"/>
    <w:rsid w:val="00CA2C86"/>
    <w:rsid w:val="00CA4EA1"/>
    <w:rsid w:val="00CA7497"/>
    <w:rsid w:val="00CB3A49"/>
    <w:rsid w:val="00CB6BA9"/>
    <w:rsid w:val="00CB7388"/>
    <w:rsid w:val="00CC30FC"/>
    <w:rsid w:val="00CC5D7E"/>
    <w:rsid w:val="00CC6579"/>
    <w:rsid w:val="00CD0C15"/>
    <w:rsid w:val="00CD0D66"/>
    <w:rsid w:val="00CD1EDE"/>
    <w:rsid w:val="00CE3269"/>
    <w:rsid w:val="00CF24D6"/>
    <w:rsid w:val="00CF2B2D"/>
    <w:rsid w:val="00CF51CE"/>
    <w:rsid w:val="00CF5841"/>
    <w:rsid w:val="00D00E28"/>
    <w:rsid w:val="00D0274A"/>
    <w:rsid w:val="00D03755"/>
    <w:rsid w:val="00D046B2"/>
    <w:rsid w:val="00D05F7B"/>
    <w:rsid w:val="00D06124"/>
    <w:rsid w:val="00D06A75"/>
    <w:rsid w:val="00D10368"/>
    <w:rsid w:val="00D1216D"/>
    <w:rsid w:val="00D15158"/>
    <w:rsid w:val="00D15C79"/>
    <w:rsid w:val="00D21016"/>
    <w:rsid w:val="00D222D1"/>
    <w:rsid w:val="00D2748B"/>
    <w:rsid w:val="00D3047C"/>
    <w:rsid w:val="00D307A0"/>
    <w:rsid w:val="00D3182A"/>
    <w:rsid w:val="00D408F8"/>
    <w:rsid w:val="00D41869"/>
    <w:rsid w:val="00D41A73"/>
    <w:rsid w:val="00D42F36"/>
    <w:rsid w:val="00D43153"/>
    <w:rsid w:val="00D4538E"/>
    <w:rsid w:val="00D454BA"/>
    <w:rsid w:val="00D45F25"/>
    <w:rsid w:val="00D512DD"/>
    <w:rsid w:val="00D519BB"/>
    <w:rsid w:val="00D51EA8"/>
    <w:rsid w:val="00D545D4"/>
    <w:rsid w:val="00D55655"/>
    <w:rsid w:val="00D56171"/>
    <w:rsid w:val="00D56E15"/>
    <w:rsid w:val="00D60187"/>
    <w:rsid w:val="00D6178D"/>
    <w:rsid w:val="00D62770"/>
    <w:rsid w:val="00D62787"/>
    <w:rsid w:val="00D6385F"/>
    <w:rsid w:val="00D64758"/>
    <w:rsid w:val="00D66CAD"/>
    <w:rsid w:val="00D66CDD"/>
    <w:rsid w:val="00D70361"/>
    <w:rsid w:val="00D72013"/>
    <w:rsid w:val="00D742AB"/>
    <w:rsid w:val="00D74CE0"/>
    <w:rsid w:val="00D75C3B"/>
    <w:rsid w:val="00D837CA"/>
    <w:rsid w:val="00D839F7"/>
    <w:rsid w:val="00D84086"/>
    <w:rsid w:val="00D8530F"/>
    <w:rsid w:val="00D85567"/>
    <w:rsid w:val="00D857A7"/>
    <w:rsid w:val="00D86267"/>
    <w:rsid w:val="00D94CBA"/>
    <w:rsid w:val="00D97585"/>
    <w:rsid w:val="00D9784B"/>
    <w:rsid w:val="00DA3B2A"/>
    <w:rsid w:val="00DA45CA"/>
    <w:rsid w:val="00DB14D8"/>
    <w:rsid w:val="00DB2D76"/>
    <w:rsid w:val="00DB4FF8"/>
    <w:rsid w:val="00DC1601"/>
    <w:rsid w:val="00DC3722"/>
    <w:rsid w:val="00DC4368"/>
    <w:rsid w:val="00DC4EA0"/>
    <w:rsid w:val="00DC6F0B"/>
    <w:rsid w:val="00DC7142"/>
    <w:rsid w:val="00DD3B5C"/>
    <w:rsid w:val="00DD4035"/>
    <w:rsid w:val="00DD40F9"/>
    <w:rsid w:val="00DD49E5"/>
    <w:rsid w:val="00DD4C83"/>
    <w:rsid w:val="00DD4E45"/>
    <w:rsid w:val="00DD514A"/>
    <w:rsid w:val="00DD7548"/>
    <w:rsid w:val="00DD7DEF"/>
    <w:rsid w:val="00DE1F8E"/>
    <w:rsid w:val="00DE3429"/>
    <w:rsid w:val="00DE3673"/>
    <w:rsid w:val="00DE3DBF"/>
    <w:rsid w:val="00DE6A27"/>
    <w:rsid w:val="00DE7339"/>
    <w:rsid w:val="00DF05D3"/>
    <w:rsid w:val="00DF0F72"/>
    <w:rsid w:val="00DF121C"/>
    <w:rsid w:val="00DF2B39"/>
    <w:rsid w:val="00DF4980"/>
    <w:rsid w:val="00DF4D5C"/>
    <w:rsid w:val="00E01D19"/>
    <w:rsid w:val="00E0461F"/>
    <w:rsid w:val="00E05D83"/>
    <w:rsid w:val="00E06F93"/>
    <w:rsid w:val="00E102A6"/>
    <w:rsid w:val="00E15A1F"/>
    <w:rsid w:val="00E21014"/>
    <w:rsid w:val="00E23A9E"/>
    <w:rsid w:val="00E24F8E"/>
    <w:rsid w:val="00E256E7"/>
    <w:rsid w:val="00E32144"/>
    <w:rsid w:val="00E32F95"/>
    <w:rsid w:val="00E33B3F"/>
    <w:rsid w:val="00E35137"/>
    <w:rsid w:val="00E353D8"/>
    <w:rsid w:val="00E361A9"/>
    <w:rsid w:val="00E40CEA"/>
    <w:rsid w:val="00E41C67"/>
    <w:rsid w:val="00E4226B"/>
    <w:rsid w:val="00E43430"/>
    <w:rsid w:val="00E44C4F"/>
    <w:rsid w:val="00E4516D"/>
    <w:rsid w:val="00E516F9"/>
    <w:rsid w:val="00E55FAB"/>
    <w:rsid w:val="00E5656B"/>
    <w:rsid w:val="00E61C6A"/>
    <w:rsid w:val="00E61FEA"/>
    <w:rsid w:val="00E620DA"/>
    <w:rsid w:val="00E62DC1"/>
    <w:rsid w:val="00E63A8E"/>
    <w:rsid w:val="00E64083"/>
    <w:rsid w:val="00E721DD"/>
    <w:rsid w:val="00E737AC"/>
    <w:rsid w:val="00E75E9F"/>
    <w:rsid w:val="00E8110B"/>
    <w:rsid w:val="00E8244C"/>
    <w:rsid w:val="00E82DE2"/>
    <w:rsid w:val="00E85E16"/>
    <w:rsid w:val="00E869A4"/>
    <w:rsid w:val="00E90148"/>
    <w:rsid w:val="00E9127F"/>
    <w:rsid w:val="00E9164D"/>
    <w:rsid w:val="00E95671"/>
    <w:rsid w:val="00E959AD"/>
    <w:rsid w:val="00E97127"/>
    <w:rsid w:val="00EA05A2"/>
    <w:rsid w:val="00EA112D"/>
    <w:rsid w:val="00EA2052"/>
    <w:rsid w:val="00EB0212"/>
    <w:rsid w:val="00EB20A7"/>
    <w:rsid w:val="00EB2ADE"/>
    <w:rsid w:val="00EB6C58"/>
    <w:rsid w:val="00EB6DA0"/>
    <w:rsid w:val="00EB70A6"/>
    <w:rsid w:val="00EB7840"/>
    <w:rsid w:val="00EC0F5D"/>
    <w:rsid w:val="00EC20FB"/>
    <w:rsid w:val="00EC34D5"/>
    <w:rsid w:val="00EC3D0F"/>
    <w:rsid w:val="00EC4C5D"/>
    <w:rsid w:val="00EC5795"/>
    <w:rsid w:val="00EC68C9"/>
    <w:rsid w:val="00EC772B"/>
    <w:rsid w:val="00ED1348"/>
    <w:rsid w:val="00EE0401"/>
    <w:rsid w:val="00EE0CFC"/>
    <w:rsid w:val="00EE12CB"/>
    <w:rsid w:val="00EE2BF6"/>
    <w:rsid w:val="00EE3EBE"/>
    <w:rsid w:val="00EE7C28"/>
    <w:rsid w:val="00EF0365"/>
    <w:rsid w:val="00EF08EB"/>
    <w:rsid w:val="00EF19D6"/>
    <w:rsid w:val="00EF1D02"/>
    <w:rsid w:val="00EF3CA3"/>
    <w:rsid w:val="00EF511B"/>
    <w:rsid w:val="00EF546D"/>
    <w:rsid w:val="00EF6272"/>
    <w:rsid w:val="00EF7EC8"/>
    <w:rsid w:val="00F01268"/>
    <w:rsid w:val="00F01B3F"/>
    <w:rsid w:val="00F02E91"/>
    <w:rsid w:val="00F0378B"/>
    <w:rsid w:val="00F03C8D"/>
    <w:rsid w:val="00F03D8E"/>
    <w:rsid w:val="00F06286"/>
    <w:rsid w:val="00F149B5"/>
    <w:rsid w:val="00F17B01"/>
    <w:rsid w:val="00F22098"/>
    <w:rsid w:val="00F24A54"/>
    <w:rsid w:val="00F26AEE"/>
    <w:rsid w:val="00F31584"/>
    <w:rsid w:val="00F33D70"/>
    <w:rsid w:val="00F41ABB"/>
    <w:rsid w:val="00F42118"/>
    <w:rsid w:val="00F4447D"/>
    <w:rsid w:val="00F45DCE"/>
    <w:rsid w:val="00F51B85"/>
    <w:rsid w:val="00F53B8E"/>
    <w:rsid w:val="00F543D6"/>
    <w:rsid w:val="00F54C1C"/>
    <w:rsid w:val="00F54D32"/>
    <w:rsid w:val="00F55546"/>
    <w:rsid w:val="00F56417"/>
    <w:rsid w:val="00F579F1"/>
    <w:rsid w:val="00F61727"/>
    <w:rsid w:val="00F61DE2"/>
    <w:rsid w:val="00F63253"/>
    <w:rsid w:val="00F6509B"/>
    <w:rsid w:val="00F66792"/>
    <w:rsid w:val="00F67E57"/>
    <w:rsid w:val="00F70640"/>
    <w:rsid w:val="00F71557"/>
    <w:rsid w:val="00F72788"/>
    <w:rsid w:val="00F74B53"/>
    <w:rsid w:val="00F75D58"/>
    <w:rsid w:val="00F76038"/>
    <w:rsid w:val="00F76931"/>
    <w:rsid w:val="00F81043"/>
    <w:rsid w:val="00F8403A"/>
    <w:rsid w:val="00F9361D"/>
    <w:rsid w:val="00F97B5C"/>
    <w:rsid w:val="00FA00F4"/>
    <w:rsid w:val="00FA5D31"/>
    <w:rsid w:val="00FA60C9"/>
    <w:rsid w:val="00FA6C35"/>
    <w:rsid w:val="00FB16CE"/>
    <w:rsid w:val="00FB5860"/>
    <w:rsid w:val="00FB6752"/>
    <w:rsid w:val="00FB6A14"/>
    <w:rsid w:val="00FC00C8"/>
    <w:rsid w:val="00FC1365"/>
    <w:rsid w:val="00FC23A9"/>
    <w:rsid w:val="00FC2F5F"/>
    <w:rsid w:val="00FC4F49"/>
    <w:rsid w:val="00FC7B40"/>
    <w:rsid w:val="00FD05E6"/>
    <w:rsid w:val="00FD0FB5"/>
    <w:rsid w:val="00FD167F"/>
    <w:rsid w:val="00FD1D59"/>
    <w:rsid w:val="00FD1FA0"/>
    <w:rsid w:val="00FD271E"/>
    <w:rsid w:val="00FD31E0"/>
    <w:rsid w:val="00FD5019"/>
    <w:rsid w:val="00FD5603"/>
    <w:rsid w:val="00FD6AF3"/>
    <w:rsid w:val="00FD7614"/>
    <w:rsid w:val="00FE13D4"/>
    <w:rsid w:val="00FE1577"/>
    <w:rsid w:val="00FE3681"/>
    <w:rsid w:val="00FE3BE3"/>
    <w:rsid w:val="00FE6B5D"/>
    <w:rsid w:val="00FE726F"/>
    <w:rsid w:val="00FF0846"/>
    <w:rsid w:val="00FF2F0E"/>
    <w:rsid w:val="00FF3C4F"/>
    <w:rsid w:val="00FF537D"/>
    <w:rsid w:val="00FF5593"/>
    <w:rsid w:val="00FF6A04"/>
    <w:rsid w:val="00FF79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064FC"/>
  <w15:chartTrackingRefBased/>
  <w15:docId w15:val="{915CDA51-9515-47A4-B33C-F6612C45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97"/>
    <w:pPr>
      <w:spacing w:after="0"/>
    </w:pPr>
  </w:style>
  <w:style w:type="paragraph" w:styleId="Ttulo1">
    <w:name w:val="heading 1"/>
    <w:basedOn w:val="Normal"/>
    <w:next w:val="Normal"/>
    <w:link w:val="Ttulo1Car"/>
    <w:uiPriority w:val="9"/>
    <w:qFormat/>
    <w:rsid w:val="003C41A5"/>
    <w:pPr>
      <w:keepNext/>
      <w:keepLines/>
      <w:spacing w:before="240"/>
      <w:outlineLvl w:val="0"/>
    </w:pPr>
    <w:rPr>
      <w:rFonts w:asciiTheme="majorHAnsi" w:eastAsiaTheme="majorEastAsia" w:hAnsiTheme="majorHAnsi" w:cstheme="majorBidi"/>
      <w:b/>
      <w:color w:val="1F4E79" w:themeColor="accent1" w:themeShade="80"/>
      <w:sz w:val="32"/>
      <w:szCs w:val="32"/>
    </w:rPr>
  </w:style>
  <w:style w:type="paragraph" w:styleId="Ttulo2">
    <w:name w:val="heading 2"/>
    <w:basedOn w:val="Normal"/>
    <w:next w:val="Normal"/>
    <w:link w:val="Ttulo2Car"/>
    <w:uiPriority w:val="9"/>
    <w:unhideWhenUsed/>
    <w:qFormat/>
    <w:rsid w:val="00915462"/>
    <w:pPr>
      <w:keepNext/>
      <w:keepLines/>
      <w:autoSpaceDE w:val="0"/>
      <w:autoSpaceDN w:val="0"/>
      <w:adjustRightInd w:val="0"/>
      <w:spacing w:before="4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15462"/>
    <w:pPr>
      <w:keepNext/>
      <w:keepLines/>
      <w:autoSpaceDE w:val="0"/>
      <w:autoSpaceDN w:val="0"/>
      <w:adjustRightInd w:val="0"/>
      <w:spacing w:before="4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15462"/>
    <w:pPr>
      <w:keepNext/>
      <w:keepLines/>
      <w:autoSpaceDE w:val="0"/>
      <w:autoSpaceDN w:val="0"/>
      <w:adjustRightInd w:val="0"/>
      <w:spacing w:before="40" w:line="240" w:lineRule="auto"/>
      <w:jc w:val="both"/>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15462"/>
    <w:pPr>
      <w:keepNext/>
      <w:keepLines/>
      <w:autoSpaceDE w:val="0"/>
      <w:autoSpaceDN w:val="0"/>
      <w:adjustRightInd w:val="0"/>
      <w:spacing w:before="40" w:line="240" w:lineRule="auto"/>
      <w:jc w:val="both"/>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546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1546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1546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15462"/>
    <w:rPr>
      <w:rFonts w:asciiTheme="majorHAnsi" w:eastAsiaTheme="majorEastAsia" w:hAnsiTheme="majorHAnsi" w:cstheme="majorBidi"/>
      <w:color w:val="2E74B5" w:themeColor="accent1" w:themeShade="BF"/>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Bolita,BOLA"/>
    <w:basedOn w:val="Normal"/>
    <w:link w:val="PrrafodelistaCar"/>
    <w:uiPriority w:val="34"/>
    <w:qFormat/>
    <w:rsid w:val="00915462"/>
    <w:pPr>
      <w:autoSpaceDE w:val="0"/>
      <w:autoSpaceDN w:val="0"/>
      <w:adjustRightInd w:val="0"/>
      <w:spacing w:line="240" w:lineRule="auto"/>
      <w:ind w:left="720"/>
      <w:contextualSpacing/>
      <w:jc w:val="both"/>
    </w:pPr>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link w:val="Prrafodelista"/>
    <w:uiPriority w:val="34"/>
    <w:qFormat/>
    <w:locked/>
    <w:rsid w:val="00915462"/>
  </w:style>
  <w:style w:type="character" w:styleId="Textoennegrita">
    <w:name w:val="Strong"/>
    <w:basedOn w:val="Fuentedeprrafopredeter"/>
    <w:uiPriority w:val="22"/>
    <w:qFormat/>
    <w:rsid w:val="00915462"/>
    <w:rPr>
      <w:b/>
      <w:bCs/>
    </w:rPr>
  </w:style>
  <w:style w:type="paragraph" w:styleId="NormalWeb">
    <w:name w:val="Normal (Web)"/>
    <w:basedOn w:val="Normal"/>
    <w:uiPriority w:val="99"/>
    <w:unhideWhenUsed/>
    <w:rsid w:val="009154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aliases w:val="de nota al pie,Ref,referencia nota al pie,Nota de pie,Ref. de nota al pie2,Massilia Footnote Reference,Nota al pie info 1,Footnote,Texto de nota al pie,Pie de pagina,Appel note de bas de page,BVI fnr,Footnote symbol,ftref,FC,titulo 2"/>
    <w:basedOn w:val="Fuentedeprrafopredeter"/>
    <w:link w:val="BVIfnrCarattereCharCharCharCarattereCharCharCharCharCharChar1CharCharCharCarattereChar"/>
    <w:uiPriority w:val="99"/>
    <w:qFormat/>
    <w:rsid w:val="00915462"/>
    <w:rPr>
      <w:position w:val="0"/>
      <w:vertAlign w:val="superscript"/>
    </w:rPr>
  </w:style>
  <w:style w:type="paragraph" w:styleId="Textonotapie">
    <w:name w:val="footnote text"/>
    <w:aliases w:val="fn,footnote text,ft,Footnotes,Footnote ak,fn cafc,Footnote Text Char,fn Char,footnote text Char,Footnotes Char,Footnote ak Char,Footnotes Char Char,Footnote Text Char Char,fn Char Char,footnote text Char Char Char Ch,Footnote Text Cha,Car"/>
    <w:basedOn w:val="Normal"/>
    <w:link w:val="TextonotapieCar"/>
    <w:uiPriority w:val="99"/>
    <w:qFormat/>
    <w:rsid w:val="00915462"/>
    <w:pPr>
      <w:suppressAutoHyphens/>
      <w:autoSpaceDN w:val="0"/>
      <w:spacing w:line="240" w:lineRule="auto"/>
      <w:jc w:val="both"/>
      <w:textAlignment w:val="baseline"/>
    </w:pPr>
    <w:rPr>
      <w:rFonts w:ascii="Calibri" w:eastAsia="SimSun" w:hAnsi="Calibri" w:cs="F"/>
      <w:kern w:val="3"/>
      <w:sz w:val="18"/>
      <w:szCs w:val="20"/>
      <w:lang w:val="es-ES_tradnl"/>
    </w:rPr>
  </w:style>
  <w:style w:type="character" w:customStyle="1" w:styleId="TextonotapieCar">
    <w:name w:val="Texto nota pie Car"/>
    <w:aliases w:val="fn Car,footnote text Car,ft Car,Footnotes Car,Footnote ak Car,fn cafc Car,Footnote Text Char Car,fn Char Car,footnote text Char Car,Footnotes Char Car,Footnote ak Char Car,Footnotes Char Char Car,Footnote Text Char Char Car,Car Car"/>
    <w:basedOn w:val="Fuentedeprrafopredeter"/>
    <w:link w:val="Textonotapie"/>
    <w:uiPriority w:val="99"/>
    <w:rsid w:val="00915462"/>
    <w:rPr>
      <w:rFonts w:ascii="Calibri" w:eastAsia="SimSun" w:hAnsi="Calibri" w:cs="F"/>
      <w:kern w:val="3"/>
      <w:sz w:val="18"/>
      <w:szCs w:val="20"/>
      <w:lang w:val="es-ES_tradnl"/>
    </w:rPr>
  </w:style>
  <w:style w:type="character" w:styleId="Hipervnculo">
    <w:name w:val="Hyperlink"/>
    <w:basedOn w:val="Fuentedeprrafopredeter"/>
    <w:uiPriority w:val="99"/>
    <w:unhideWhenUsed/>
    <w:rsid w:val="005D0296"/>
    <w:rPr>
      <w:color w:val="0563C1" w:themeColor="hyperlink"/>
      <w:u w:val="single"/>
    </w:rPr>
  </w:style>
  <w:style w:type="table" w:styleId="Tablaconcuadrcula">
    <w:name w:val="Table Grid"/>
    <w:basedOn w:val="Tablanormal"/>
    <w:rsid w:val="005D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5D0296"/>
    <w:pPr>
      <w:spacing w:line="240" w:lineRule="auto"/>
      <w:ind w:left="360"/>
      <w:jc w:val="both"/>
    </w:pPr>
    <w:rPr>
      <w:rFonts w:ascii="Calibri" w:eastAsia="Times New Roman" w:hAnsi="Calibri" w:cs="Times New Roman"/>
      <w:b/>
      <w:szCs w:val="20"/>
      <w:lang w:val="es-ES" w:eastAsia="es-ES"/>
    </w:rPr>
  </w:style>
  <w:style w:type="character" w:customStyle="1" w:styleId="TextoindependienteCar">
    <w:name w:val="Texto independiente Car"/>
    <w:basedOn w:val="Fuentedeprrafopredeter"/>
    <w:link w:val="Textoindependiente"/>
    <w:rsid w:val="005D0296"/>
    <w:rPr>
      <w:rFonts w:ascii="Calibri" w:eastAsia="Times New Roman" w:hAnsi="Calibri" w:cs="Times New Roman"/>
      <w:b/>
      <w:szCs w:val="20"/>
      <w:lang w:val="es-ES" w:eastAsia="es-ES"/>
    </w:rPr>
  </w:style>
  <w:style w:type="paragraph" w:styleId="Textocomentario">
    <w:name w:val="annotation text"/>
    <w:basedOn w:val="Normal"/>
    <w:link w:val="TextocomentarioCar"/>
    <w:unhideWhenUsed/>
    <w:rsid w:val="00EE3EBE"/>
    <w:pPr>
      <w:autoSpaceDE w:val="0"/>
      <w:autoSpaceDN w:val="0"/>
      <w:adjustRightInd w:val="0"/>
      <w:spacing w:line="240" w:lineRule="auto"/>
      <w:jc w:val="both"/>
    </w:pPr>
    <w:rPr>
      <w:sz w:val="20"/>
      <w:szCs w:val="20"/>
    </w:rPr>
  </w:style>
  <w:style w:type="character" w:customStyle="1" w:styleId="TextocomentarioCar">
    <w:name w:val="Texto comentario Car"/>
    <w:basedOn w:val="Fuentedeprrafopredeter"/>
    <w:link w:val="Textocomentario"/>
    <w:rsid w:val="00EE3EBE"/>
    <w:rPr>
      <w:sz w:val="20"/>
      <w:szCs w:val="20"/>
    </w:rPr>
  </w:style>
  <w:style w:type="character" w:styleId="Refdecomentario">
    <w:name w:val="annotation reference"/>
    <w:basedOn w:val="Fuentedeprrafopredeter"/>
    <w:semiHidden/>
    <w:unhideWhenUsed/>
    <w:rsid w:val="00952675"/>
    <w:rPr>
      <w:sz w:val="16"/>
      <w:szCs w:val="16"/>
    </w:rPr>
  </w:style>
  <w:style w:type="paragraph" w:customStyle="1" w:styleId="Default">
    <w:name w:val="Default"/>
    <w:rsid w:val="00952675"/>
    <w:pPr>
      <w:autoSpaceDE w:val="0"/>
      <w:autoSpaceDN w:val="0"/>
      <w:adjustRightInd w:val="0"/>
      <w:spacing w:after="0" w:line="240" w:lineRule="auto"/>
    </w:pPr>
    <w:rPr>
      <w:rFonts w:ascii="Arial" w:hAnsi="Arial" w:cs="Arial"/>
      <w:color w:val="000000"/>
      <w:sz w:val="24"/>
      <w:szCs w:val="24"/>
    </w:rPr>
  </w:style>
  <w:style w:type="numbering" w:customStyle="1" w:styleId="Estiloimportado7">
    <w:name w:val="Estilo importado 7"/>
    <w:rsid w:val="00952675"/>
    <w:pPr>
      <w:numPr>
        <w:numId w:val="1"/>
      </w:numPr>
    </w:pPr>
  </w:style>
  <w:style w:type="paragraph" w:styleId="Textodeglobo">
    <w:name w:val="Balloon Text"/>
    <w:basedOn w:val="Normal"/>
    <w:link w:val="TextodegloboCar"/>
    <w:uiPriority w:val="99"/>
    <w:semiHidden/>
    <w:unhideWhenUsed/>
    <w:rsid w:val="009526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675"/>
    <w:rPr>
      <w:rFonts w:ascii="Segoe UI" w:hAnsi="Segoe UI" w:cs="Segoe UI"/>
      <w:sz w:val="18"/>
      <w:szCs w:val="18"/>
    </w:rPr>
  </w:style>
  <w:style w:type="paragraph" w:styleId="Descripcin">
    <w:name w:val="caption"/>
    <w:basedOn w:val="Normal"/>
    <w:next w:val="Normal"/>
    <w:uiPriority w:val="35"/>
    <w:unhideWhenUsed/>
    <w:qFormat/>
    <w:rsid w:val="00952675"/>
    <w:pPr>
      <w:autoSpaceDE w:val="0"/>
      <w:autoSpaceDN w:val="0"/>
      <w:adjustRightInd w:val="0"/>
      <w:spacing w:line="240" w:lineRule="auto"/>
      <w:jc w:val="both"/>
    </w:pPr>
    <w:rPr>
      <w:rFonts w:ascii="Calibri Light" w:hAnsi="Calibri Light"/>
      <w:i/>
      <w:iCs/>
      <w:color w:val="1F4E79" w:themeColor="accent1" w:themeShade="80"/>
      <w:szCs w:val="18"/>
    </w:rPr>
  </w:style>
  <w:style w:type="paragraph" w:styleId="Sinespaciado">
    <w:name w:val="No Spacing"/>
    <w:link w:val="SinespaciadoCar"/>
    <w:uiPriority w:val="1"/>
    <w:qFormat/>
    <w:rsid w:val="00952675"/>
    <w:pPr>
      <w:autoSpaceDE w:val="0"/>
      <w:autoSpaceDN w:val="0"/>
      <w:adjustRightInd w:val="0"/>
      <w:spacing w:after="0" w:line="240" w:lineRule="auto"/>
      <w:jc w:val="both"/>
    </w:pPr>
  </w:style>
  <w:style w:type="paragraph" w:styleId="Piedepgina">
    <w:name w:val="footer"/>
    <w:basedOn w:val="Normal"/>
    <w:link w:val="PiedepginaCar"/>
    <w:uiPriority w:val="99"/>
    <w:unhideWhenUsed/>
    <w:rsid w:val="00D51EA8"/>
    <w:pPr>
      <w:tabs>
        <w:tab w:val="center" w:pos="4419"/>
        <w:tab w:val="right" w:pos="8838"/>
      </w:tabs>
      <w:autoSpaceDE w:val="0"/>
      <w:autoSpaceDN w:val="0"/>
      <w:adjustRightInd w:val="0"/>
      <w:spacing w:line="240" w:lineRule="auto"/>
      <w:jc w:val="both"/>
    </w:pPr>
  </w:style>
  <w:style w:type="character" w:customStyle="1" w:styleId="PiedepginaCar">
    <w:name w:val="Pie de página Car"/>
    <w:basedOn w:val="Fuentedeprrafopredeter"/>
    <w:link w:val="Piedepgina"/>
    <w:uiPriority w:val="99"/>
    <w:rsid w:val="00D51EA8"/>
  </w:style>
  <w:style w:type="paragraph" w:styleId="Encabezado">
    <w:name w:val="header"/>
    <w:basedOn w:val="Normal"/>
    <w:link w:val="EncabezadoCar"/>
    <w:unhideWhenUsed/>
    <w:rsid w:val="00D51EA8"/>
    <w:pPr>
      <w:tabs>
        <w:tab w:val="center" w:pos="4419"/>
        <w:tab w:val="right" w:pos="8838"/>
      </w:tabs>
      <w:spacing w:line="240" w:lineRule="auto"/>
    </w:pPr>
  </w:style>
  <w:style w:type="character" w:customStyle="1" w:styleId="EncabezadoCar">
    <w:name w:val="Encabezado Car"/>
    <w:basedOn w:val="Fuentedeprrafopredeter"/>
    <w:link w:val="Encabezado"/>
    <w:rsid w:val="00D51EA8"/>
  </w:style>
  <w:style w:type="character" w:customStyle="1" w:styleId="Ttulo1Car">
    <w:name w:val="Título 1 Car"/>
    <w:basedOn w:val="Fuentedeprrafopredeter"/>
    <w:link w:val="Ttulo1"/>
    <w:uiPriority w:val="9"/>
    <w:rsid w:val="003C41A5"/>
    <w:rPr>
      <w:rFonts w:asciiTheme="majorHAnsi" w:eastAsiaTheme="majorEastAsia" w:hAnsiTheme="majorHAnsi" w:cstheme="majorBidi"/>
      <w:b/>
      <w:color w:val="1F4E79" w:themeColor="accent1" w:themeShade="80"/>
      <w:sz w:val="32"/>
      <w:szCs w:val="32"/>
    </w:rPr>
  </w:style>
  <w:style w:type="paragraph" w:styleId="Asuntodelcomentario">
    <w:name w:val="annotation subject"/>
    <w:basedOn w:val="Textocomentario"/>
    <w:next w:val="Textocomentario"/>
    <w:link w:val="AsuntodelcomentarioCar"/>
    <w:uiPriority w:val="99"/>
    <w:semiHidden/>
    <w:unhideWhenUsed/>
    <w:rsid w:val="00113EEF"/>
    <w:pPr>
      <w:autoSpaceDE/>
      <w:autoSpaceDN/>
      <w:adjustRightInd/>
      <w:spacing w:after="160"/>
      <w:jc w:val="left"/>
    </w:pPr>
    <w:rPr>
      <w:b/>
      <w:bCs/>
    </w:rPr>
  </w:style>
  <w:style w:type="character" w:customStyle="1" w:styleId="AsuntodelcomentarioCar">
    <w:name w:val="Asunto del comentario Car"/>
    <w:basedOn w:val="TextocomentarioCar"/>
    <w:link w:val="Asuntodelcomentario"/>
    <w:uiPriority w:val="99"/>
    <w:semiHidden/>
    <w:rsid w:val="00113EEF"/>
    <w:rPr>
      <w:b/>
      <w:bCs/>
      <w:sz w:val="20"/>
      <w:szCs w:val="20"/>
    </w:rPr>
  </w:style>
  <w:style w:type="paragraph" w:styleId="TtulodeTDC">
    <w:name w:val="TOC Heading"/>
    <w:basedOn w:val="Ttulo1"/>
    <w:next w:val="Normal"/>
    <w:uiPriority w:val="39"/>
    <w:unhideWhenUsed/>
    <w:qFormat/>
    <w:rsid w:val="00934004"/>
    <w:pPr>
      <w:outlineLvl w:val="9"/>
    </w:pPr>
    <w:rPr>
      <w:lang w:eastAsia="es-CO"/>
    </w:rPr>
  </w:style>
  <w:style w:type="paragraph" w:styleId="TDC1">
    <w:name w:val="toc 1"/>
    <w:basedOn w:val="Normal"/>
    <w:next w:val="Normal"/>
    <w:autoRedefine/>
    <w:uiPriority w:val="39"/>
    <w:unhideWhenUsed/>
    <w:rsid w:val="00934004"/>
    <w:pPr>
      <w:spacing w:after="100"/>
    </w:pPr>
  </w:style>
  <w:style w:type="paragraph" w:styleId="TDC2">
    <w:name w:val="toc 2"/>
    <w:basedOn w:val="Normal"/>
    <w:next w:val="Normal"/>
    <w:autoRedefine/>
    <w:uiPriority w:val="39"/>
    <w:unhideWhenUsed/>
    <w:rsid w:val="00934004"/>
    <w:pPr>
      <w:spacing w:after="100"/>
      <w:ind w:left="220"/>
    </w:pPr>
  </w:style>
  <w:style w:type="paragraph" w:styleId="TDC3">
    <w:name w:val="toc 3"/>
    <w:basedOn w:val="Normal"/>
    <w:next w:val="Normal"/>
    <w:autoRedefine/>
    <w:uiPriority w:val="39"/>
    <w:unhideWhenUsed/>
    <w:rsid w:val="00152C22"/>
    <w:pPr>
      <w:spacing w:line="240" w:lineRule="auto"/>
      <w:jc w:val="both"/>
    </w:pPr>
    <w:rPr>
      <w:rFonts w:ascii="Arial" w:hAnsi="Arial" w:cs="Arial"/>
      <w:b/>
      <w:sz w:val="24"/>
      <w:szCs w:val="24"/>
    </w:rPr>
  </w:style>
  <w:style w:type="paragraph" w:styleId="Revisin">
    <w:name w:val="Revision"/>
    <w:hidden/>
    <w:uiPriority w:val="99"/>
    <w:semiHidden/>
    <w:rsid w:val="004507F7"/>
    <w:pPr>
      <w:spacing w:after="0" w:line="240" w:lineRule="auto"/>
    </w:pPr>
  </w:style>
  <w:style w:type="character" w:styleId="Nmerodepgina">
    <w:name w:val="page number"/>
    <w:basedOn w:val="Fuentedeprrafopredeter"/>
    <w:uiPriority w:val="99"/>
    <w:unhideWhenUsed/>
    <w:rsid w:val="00D837CA"/>
  </w:style>
  <w:style w:type="character" w:customStyle="1" w:styleId="apple-converted-space">
    <w:name w:val="apple-converted-space"/>
    <w:basedOn w:val="Fuentedeprrafopredeter"/>
    <w:rsid w:val="00617E61"/>
  </w:style>
  <w:style w:type="paragraph" w:styleId="Textonotaalfinal">
    <w:name w:val="endnote text"/>
    <w:basedOn w:val="Normal"/>
    <w:link w:val="TextonotaalfinalCar"/>
    <w:uiPriority w:val="99"/>
    <w:semiHidden/>
    <w:unhideWhenUsed/>
    <w:rsid w:val="00617E6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617E61"/>
    <w:rPr>
      <w:sz w:val="20"/>
      <w:szCs w:val="20"/>
    </w:rPr>
  </w:style>
  <w:style w:type="character" w:styleId="Refdenotaalfinal">
    <w:name w:val="endnote reference"/>
    <w:basedOn w:val="Fuentedeprrafopredeter"/>
    <w:uiPriority w:val="99"/>
    <w:semiHidden/>
    <w:unhideWhenUsed/>
    <w:rsid w:val="00617E61"/>
    <w:rPr>
      <w:vertAlign w:val="superscript"/>
    </w:rPr>
  </w:style>
  <w:style w:type="paragraph" w:styleId="Tabladeilustraciones">
    <w:name w:val="table of figures"/>
    <w:basedOn w:val="Normal"/>
    <w:next w:val="Normal"/>
    <w:uiPriority w:val="99"/>
    <w:unhideWhenUsed/>
    <w:rsid w:val="00617E61"/>
    <w:pPr>
      <w:spacing w:line="276" w:lineRule="auto"/>
    </w:pPr>
  </w:style>
  <w:style w:type="paragraph" w:customStyle="1" w:styleId="Sinespaciado1">
    <w:name w:val="Sin espaciado1"/>
    <w:uiPriority w:val="1"/>
    <w:qFormat/>
    <w:rsid w:val="00617E61"/>
    <w:pPr>
      <w:spacing w:after="0" w:line="240" w:lineRule="auto"/>
    </w:pPr>
    <w:rPr>
      <w:rFonts w:ascii="Calibri" w:eastAsia="Times New Roman" w:hAnsi="Calibri" w:cs="Times New Roman"/>
      <w:lang w:val="es-ES" w:eastAsia="es-E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617E61"/>
    <w:pPr>
      <w:spacing w:after="160" w:line="240" w:lineRule="exact"/>
    </w:pPr>
    <w:rPr>
      <w:vertAlign w:val="superscript"/>
    </w:rPr>
  </w:style>
  <w:style w:type="paragraph" w:styleId="Listaconvietas2">
    <w:name w:val="List Bullet 2"/>
    <w:basedOn w:val="Normal"/>
    <w:uiPriority w:val="99"/>
    <w:unhideWhenUsed/>
    <w:rsid w:val="00617E61"/>
    <w:pPr>
      <w:numPr>
        <w:numId w:val="2"/>
      </w:numPr>
      <w:spacing w:line="240" w:lineRule="auto"/>
      <w:contextualSpacing/>
    </w:pPr>
    <w:rPr>
      <w:rFonts w:ascii="Georgia" w:eastAsia="Times New Roman" w:hAnsi="Georgia" w:cs="Times New Roman"/>
      <w:sz w:val="24"/>
      <w:szCs w:val="20"/>
      <w:lang w:val="en-US"/>
    </w:rPr>
  </w:style>
  <w:style w:type="table" w:customStyle="1" w:styleId="Tabladecuadrcula4-nfasis31">
    <w:name w:val="Tabla de cuadrícula 4 - Énfasis 31"/>
    <w:basedOn w:val="Tablanormal"/>
    <w:uiPriority w:val="49"/>
    <w:rsid w:val="0031304E"/>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inespaciadoCar">
    <w:name w:val="Sin espaciado Car"/>
    <w:link w:val="Sinespaciado"/>
    <w:uiPriority w:val="1"/>
    <w:rsid w:val="000219AC"/>
  </w:style>
  <w:style w:type="paragraph" w:styleId="Textoindependiente3">
    <w:name w:val="Body Text 3"/>
    <w:basedOn w:val="Normal"/>
    <w:link w:val="Textoindependiente3Car"/>
    <w:uiPriority w:val="99"/>
    <w:semiHidden/>
    <w:unhideWhenUsed/>
    <w:rsid w:val="00286EB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6EB8"/>
    <w:rPr>
      <w:sz w:val="16"/>
      <w:szCs w:val="16"/>
    </w:rPr>
  </w:style>
  <w:style w:type="paragraph" w:customStyle="1" w:styleId="paragraph">
    <w:name w:val="paragraph"/>
    <w:basedOn w:val="Normal"/>
    <w:rsid w:val="00F17B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17B01"/>
  </w:style>
  <w:style w:type="character" w:customStyle="1" w:styleId="eop">
    <w:name w:val="eop"/>
    <w:basedOn w:val="Fuentedeprrafopredeter"/>
    <w:rsid w:val="00F17B01"/>
  </w:style>
  <w:style w:type="table" w:styleId="Tablanormal2">
    <w:name w:val="Plain Table 2"/>
    <w:basedOn w:val="Tablanormal"/>
    <w:uiPriority w:val="42"/>
    <w:rsid w:val="00C62E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442">
      <w:bodyDiv w:val="1"/>
      <w:marLeft w:val="0"/>
      <w:marRight w:val="0"/>
      <w:marTop w:val="0"/>
      <w:marBottom w:val="0"/>
      <w:divBdr>
        <w:top w:val="none" w:sz="0" w:space="0" w:color="auto"/>
        <w:left w:val="none" w:sz="0" w:space="0" w:color="auto"/>
        <w:bottom w:val="none" w:sz="0" w:space="0" w:color="auto"/>
        <w:right w:val="none" w:sz="0" w:space="0" w:color="auto"/>
      </w:divBdr>
    </w:div>
    <w:div w:id="199826680">
      <w:bodyDiv w:val="1"/>
      <w:marLeft w:val="0"/>
      <w:marRight w:val="0"/>
      <w:marTop w:val="0"/>
      <w:marBottom w:val="0"/>
      <w:divBdr>
        <w:top w:val="none" w:sz="0" w:space="0" w:color="auto"/>
        <w:left w:val="none" w:sz="0" w:space="0" w:color="auto"/>
        <w:bottom w:val="none" w:sz="0" w:space="0" w:color="auto"/>
        <w:right w:val="none" w:sz="0" w:space="0" w:color="auto"/>
      </w:divBdr>
    </w:div>
    <w:div w:id="328556306">
      <w:bodyDiv w:val="1"/>
      <w:marLeft w:val="0"/>
      <w:marRight w:val="0"/>
      <w:marTop w:val="0"/>
      <w:marBottom w:val="0"/>
      <w:divBdr>
        <w:top w:val="none" w:sz="0" w:space="0" w:color="auto"/>
        <w:left w:val="none" w:sz="0" w:space="0" w:color="auto"/>
        <w:bottom w:val="none" w:sz="0" w:space="0" w:color="auto"/>
        <w:right w:val="none" w:sz="0" w:space="0" w:color="auto"/>
      </w:divBdr>
    </w:div>
    <w:div w:id="351612475">
      <w:bodyDiv w:val="1"/>
      <w:marLeft w:val="0"/>
      <w:marRight w:val="0"/>
      <w:marTop w:val="0"/>
      <w:marBottom w:val="0"/>
      <w:divBdr>
        <w:top w:val="none" w:sz="0" w:space="0" w:color="auto"/>
        <w:left w:val="none" w:sz="0" w:space="0" w:color="auto"/>
        <w:bottom w:val="none" w:sz="0" w:space="0" w:color="auto"/>
        <w:right w:val="none" w:sz="0" w:space="0" w:color="auto"/>
      </w:divBdr>
    </w:div>
    <w:div w:id="392702808">
      <w:bodyDiv w:val="1"/>
      <w:marLeft w:val="0"/>
      <w:marRight w:val="0"/>
      <w:marTop w:val="0"/>
      <w:marBottom w:val="0"/>
      <w:divBdr>
        <w:top w:val="none" w:sz="0" w:space="0" w:color="auto"/>
        <w:left w:val="none" w:sz="0" w:space="0" w:color="auto"/>
        <w:bottom w:val="none" w:sz="0" w:space="0" w:color="auto"/>
        <w:right w:val="none" w:sz="0" w:space="0" w:color="auto"/>
      </w:divBdr>
    </w:div>
    <w:div w:id="431627533">
      <w:bodyDiv w:val="1"/>
      <w:marLeft w:val="0"/>
      <w:marRight w:val="0"/>
      <w:marTop w:val="0"/>
      <w:marBottom w:val="0"/>
      <w:divBdr>
        <w:top w:val="none" w:sz="0" w:space="0" w:color="auto"/>
        <w:left w:val="none" w:sz="0" w:space="0" w:color="auto"/>
        <w:bottom w:val="none" w:sz="0" w:space="0" w:color="auto"/>
        <w:right w:val="none" w:sz="0" w:space="0" w:color="auto"/>
      </w:divBdr>
    </w:div>
    <w:div w:id="443959780">
      <w:bodyDiv w:val="1"/>
      <w:marLeft w:val="0"/>
      <w:marRight w:val="0"/>
      <w:marTop w:val="0"/>
      <w:marBottom w:val="0"/>
      <w:divBdr>
        <w:top w:val="none" w:sz="0" w:space="0" w:color="auto"/>
        <w:left w:val="none" w:sz="0" w:space="0" w:color="auto"/>
        <w:bottom w:val="none" w:sz="0" w:space="0" w:color="auto"/>
        <w:right w:val="none" w:sz="0" w:space="0" w:color="auto"/>
      </w:divBdr>
    </w:div>
    <w:div w:id="704327901">
      <w:bodyDiv w:val="1"/>
      <w:marLeft w:val="0"/>
      <w:marRight w:val="0"/>
      <w:marTop w:val="0"/>
      <w:marBottom w:val="0"/>
      <w:divBdr>
        <w:top w:val="none" w:sz="0" w:space="0" w:color="auto"/>
        <w:left w:val="none" w:sz="0" w:space="0" w:color="auto"/>
        <w:bottom w:val="none" w:sz="0" w:space="0" w:color="auto"/>
        <w:right w:val="none" w:sz="0" w:space="0" w:color="auto"/>
      </w:divBdr>
    </w:div>
    <w:div w:id="717440598">
      <w:bodyDiv w:val="1"/>
      <w:marLeft w:val="0"/>
      <w:marRight w:val="0"/>
      <w:marTop w:val="0"/>
      <w:marBottom w:val="0"/>
      <w:divBdr>
        <w:top w:val="none" w:sz="0" w:space="0" w:color="auto"/>
        <w:left w:val="none" w:sz="0" w:space="0" w:color="auto"/>
        <w:bottom w:val="none" w:sz="0" w:space="0" w:color="auto"/>
        <w:right w:val="none" w:sz="0" w:space="0" w:color="auto"/>
      </w:divBdr>
    </w:div>
    <w:div w:id="726414701">
      <w:bodyDiv w:val="1"/>
      <w:marLeft w:val="0"/>
      <w:marRight w:val="0"/>
      <w:marTop w:val="0"/>
      <w:marBottom w:val="0"/>
      <w:divBdr>
        <w:top w:val="none" w:sz="0" w:space="0" w:color="auto"/>
        <w:left w:val="none" w:sz="0" w:space="0" w:color="auto"/>
        <w:bottom w:val="none" w:sz="0" w:space="0" w:color="auto"/>
        <w:right w:val="none" w:sz="0" w:space="0" w:color="auto"/>
      </w:divBdr>
    </w:div>
    <w:div w:id="937719229">
      <w:bodyDiv w:val="1"/>
      <w:marLeft w:val="0"/>
      <w:marRight w:val="0"/>
      <w:marTop w:val="0"/>
      <w:marBottom w:val="0"/>
      <w:divBdr>
        <w:top w:val="none" w:sz="0" w:space="0" w:color="auto"/>
        <w:left w:val="none" w:sz="0" w:space="0" w:color="auto"/>
        <w:bottom w:val="none" w:sz="0" w:space="0" w:color="auto"/>
        <w:right w:val="none" w:sz="0" w:space="0" w:color="auto"/>
      </w:divBdr>
    </w:div>
    <w:div w:id="1069504104">
      <w:bodyDiv w:val="1"/>
      <w:marLeft w:val="0"/>
      <w:marRight w:val="0"/>
      <w:marTop w:val="0"/>
      <w:marBottom w:val="0"/>
      <w:divBdr>
        <w:top w:val="none" w:sz="0" w:space="0" w:color="auto"/>
        <w:left w:val="none" w:sz="0" w:space="0" w:color="auto"/>
        <w:bottom w:val="none" w:sz="0" w:space="0" w:color="auto"/>
        <w:right w:val="none" w:sz="0" w:space="0" w:color="auto"/>
      </w:divBdr>
    </w:div>
    <w:div w:id="1158109280">
      <w:bodyDiv w:val="1"/>
      <w:marLeft w:val="0"/>
      <w:marRight w:val="0"/>
      <w:marTop w:val="0"/>
      <w:marBottom w:val="0"/>
      <w:divBdr>
        <w:top w:val="none" w:sz="0" w:space="0" w:color="auto"/>
        <w:left w:val="none" w:sz="0" w:space="0" w:color="auto"/>
        <w:bottom w:val="none" w:sz="0" w:space="0" w:color="auto"/>
        <w:right w:val="none" w:sz="0" w:space="0" w:color="auto"/>
      </w:divBdr>
    </w:div>
    <w:div w:id="1368289227">
      <w:bodyDiv w:val="1"/>
      <w:marLeft w:val="0"/>
      <w:marRight w:val="0"/>
      <w:marTop w:val="0"/>
      <w:marBottom w:val="0"/>
      <w:divBdr>
        <w:top w:val="none" w:sz="0" w:space="0" w:color="auto"/>
        <w:left w:val="none" w:sz="0" w:space="0" w:color="auto"/>
        <w:bottom w:val="none" w:sz="0" w:space="0" w:color="auto"/>
        <w:right w:val="none" w:sz="0" w:space="0" w:color="auto"/>
      </w:divBdr>
    </w:div>
    <w:div w:id="1401951446">
      <w:bodyDiv w:val="1"/>
      <w:marLeft w:val="0"/>
      <w:marRight w:val="0"/>
      <w:marTop w:val="0"/>
      <w:marBottom w:val="0"/>
      <w:divBdr>
        <w:top w:val="none" w:sz="0" w:space="0" w:color="auto"/>
        <w:left w:val="none" w:sz="0" w:space="0" w:color="auto"/>
        <w:bottom w:val="none" w:sz="0" w:space="0" w:color="auto"/>
        <w:right w:val="none" w:sz="0" w:space="0" w:color="auto"/>
      </w:divBdr>
    </w:div>
    <w:div w:id="1507670065">
      <w:bodyDiv w:val="1"/>
      <w:marLeft w:val="0"/>
      <w:marRight w:val="0"/>
      <w:marTop w:val="0"/>
      <w:marBottom w:val="0"/>
      <w:divBdr>
        <w:top w:val="none" w:sz="0" w:space="0" w:color="auto"/>
        <w:left w:val="none" w:sz="0" w:space="0" w:color="auto"/>
        <w:bottom w:val="none" w:sz="0" w:space="0" w:color="auto"/>
        <w:right w:val="none" w:sz="0" w:space="0" w:color="auto"/>
      </w:divBdr>
    </w:div>
    <w:div w:id="1532760157">
      <w:bodyDiv w:val="1"/>
      <w:marLeft w:val="0"/>
      <w:marRight w:val="0"/>
      <w:marTop w:val="0"/>
      <w:marBottom w:val="0"/>
      <w:divBdr>
        <w:top w:val="none" w:sz="0" w:space="0" w:color="auto"/>
        <w:left w:val="none" w:sz="0" w:space="0" w:color="auto"/>
        <w:bottom w:val="none" w:sz="0" w:space="0" w:color="auto"/>
        <w:right w:val="none" w:sz="0" w:space="0" w:color="auto"/>
      </w:divBdr>
    </w:div>
    <w:div w:id="1549800891">
      <w:bodyDiv w:val="1"/>
      <w:marLeft w:val="0"/>
      <w:marRight w:val="0"/>
      <w:marTop w:val="0"/>
      <w:marBottom w:val="0"/>
      <w:divBdr>
        <w:top w:val="none" w:sz="0" w:space="0" w:color="auto"/>
        <w:left w:val="none" w:sz="0" w:space="0" w:color="auto"/>
        <w:bottom w:val="none" w:sz="0" w:space="0" w:color="auto"/>
        <w:right w:val="none" w:sz="0" w:space="0" w:color="auto"/>
      </w:divBdr>
    </w:div>
    <w:div w:id="1589734361">
      <w:bodyDiv w:val="1"/>
      <w:marLeft w:val="0"/>
      <w:marRight w:val="0"/>
      <w:marTop w:val="0"/>
      <w:marBottom w:val="0"/>
      <w:divBdr>
        <w:top w:val="none" w:sz="0" w:space="0" w:color="auto"/>
        <w:left w:val="none" w:sz="0" w:space="0" w:color="auto"/>
        <w:bottom w:val="none" w:sz="0" w:space="0" w:color="auto"/>
        <w:right w:val="none" w:sz="0" w:space="0" w:color="auto"/>
      </w:divBdr>
    </w:div>
    <w:div w:id="1599751299">
      <w:bodyDiv w:val="1"/>
      <w:marLeft w:val="0"/>
      <w:marRight w:val="0"/>
      <w:marTop w:val="0"/>
      <w:marBottom w:val="0"/>
      <w:divBdr>
        <w:top w:val="none" w:sz="0" w:space="0" w:color="auto"/>
        <w:left w:val="none" w:sz="0" w:space="0" w:color="auto"/>
        <w:bottom w:val="none" w:sz="0" w:space="0" w:color="auto"/>
        <w:right w:val="none" w:sz="0" w:space="0" w:color="auto"/>
      </w:divBdr>
    </w:div>
    <w:div w:id="1671903877">
      <w:bodyDiv w:val="1"/>
      <w:marLeft w:val="0"/>
      <w:marRight w:val="0"/>
      <w:marTop w:val="0"/>
      <w:marBottom w:val="0"/>
      <w:divBdr>
        <w:top w:val="none" w:sz="0" w:space="0" w:color="auto"/>
        <w:left w:val="none" w:sz="0" w:space="0" w:color="auto"/>
        <w:bottom w:val="none" w:sz="0" w:space="0" w:color="auto"/>
        <w:right w:val="none" w:sz="0" w:space="0" w:color="auto"/>
      </w:divBdr>
    </w:div>
    <w:div w:id="1780488546">
      <w:bodyDiv w:val="1"/>
      <w:marLeft w:val="0"/>
      <w:marRight w:val="0"/>
      <w:marTop w:val="0"/>
      <w:marBottom w:val="0"/>
      <w:divBdr>
        <w:top w:val="none" w:sz="0" w:space="0" w:color="auto"/>
        <w:left w:val="none" w:sz="0" w:space="0" w:color="auto"/>
        <w:bottom w:val="none" w:sz="0" w:space="0" w:color="auto"/>
        <w:right w:val="none" w:sz="0" w:space="0" w:color="auto"/>
      </w:divBdr>
    </w:div>
    <w:div w:id="1819303645">
      <w:bodyDiv w:val="1"/>
      <w:marLeft w:val="0"/>
      <w:marRight w:val="0"/>
      <w:marTop w:val="0"/>
      <w:marBottom w:val="0"/>
      <w:divBdr>
        <w:top w:val="none" w:sz="0" w:space="0" w:color="auto"/>
        <w:left w:val="none" w:sz="0" w:space="0" w:color="auto"/>
        <w:bottom w:val="none" w:sz="0" w:space="0" w:color="auto"/>
        <w:right w:val="none" w:sz="0" w:space="0" w:color="auto"/>
      </w:divBdr>
    </w:div>
    <w:div w:id="1823696471">
      <w:bodyDiv w:val="1"/>
      <w:marLeft w:val="0"/>
      <w:marRight w:val="0"/>
      <w:marTop w:val="0"/>
      <w:marBottom w:val="0"/>
      <w:divBdr>
        <w:top w:val="none" w:sz="0" w:space="0" w:color="auto"/>
        <w:left w:val="none" w:sz="0" w:space="0" w:color="auto"/>
        <w:bottom w:val="none" w:sz="0" w:space="0" w:color="auto"/>
        <w:right w:val="none" w:sz="0" w:space="0" w:color="auto"/>
      </w:divBdr>
    </w:div>
    <w:div w:id="1855224451">
      <w:bodyDiv w:val="1"/>
      <w:marLeft w:val="0"/>
      <w:marRight w:val="0"/>
      <w:marTop w:val="0"/>
      <w:marBottom w:val="0"/>
      <w:divBdr>
        <w:top w:val="none" w:sz="0" w:space="0" w:color="auto"/>
        <w:left w:val="none" w:sz="0" w:space="0" w:color="auto"/>
        <w:bottom w:val="none" w:sz="0" w:space="0" w:color="auto"/>
        <w:right w:val="none" w:sz="0" w:space="0" w:color="auto"/>
      </w:divBdr>
    </w:div>
    <w:div w:id="2038581948">
      <w:bodyDiv w:val="1"/>
      <w:marLeft w:val="0"/>
      <w:marRight w:val="0"/>
      <w:marTop w:val="0"/>
      <w:marBottom w:val="0"/>
      <w:divBdr>
        <w:top w:val="none" w:sz="0" w:space="0" w:color="auto"/>
        <w:left w:val="none" w:sz="0" w:space="0" w:color="auto"/>
        <w:bottom w:val="none" w:sz="0" w:space="0" w:color="auto"/>
        <w:right w:val="none" w:sz="0" w:space="0" w:color="auto"/>
      </w:divBdr>
    </w:div>
    <w:div w:id="2050689986">
      <w:bodyDiv w:val="1"/>
      <w:marLeft w:val="0"/>
      <w:marRight w:val="0"/>
      <w:marTop w:val="0"/>
      <w:marBottom w:val="0"/>
      <w:divBdr>
        <w:top w:val="none" w:sz="0" w:space="0" w:color="auto"/>
        <w:left w:val="none" w:sz="0" w:space="0" w:color="auto"/>
        <w:bottom w:val="none" w:sz="0" w:space="0" w:color="auto"/>
        <w:right w:val="none" w:sz="0" w:space="0" w:color="auto"/>
      </w:divBdr>
    </w:div>
    <w:div w:id="2062434637">
      <w:bodyDiv w:val="1"/>
      <w:marLeft w:val="0"/>
      <w:marRight w:val="0"/>
      <w:marTop w:val="0"/>
      <w:marBottom w:val="0"/>
      <w:divBdr>
        <w:top w:val="none" w:sz="0" w:space="0" w:color="auto"/>
        <w:left w:val="none" w:sz="0" w:space="0" w:color="auto"/>
        <w:bottom w:val="none" w:sz="0" w:space="0" w:color="auto"/>
        <w:right w:val="none" w:sz="0" w:space="0" w:color="auto"/>
      </w:divBdr>
    </w:div>
    <w:div w:id="21301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ebastian\Desktop\Proyecto%20asociatividad\Plan%20de%20Acci&#243;n\Informe%20Plan%20de%20Accion\Cuadros%20infor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1-D471-4AB5-80E1-299A783BC678}"/>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D471-4AB5-80E1-299A783BC678}"/>
              </c:ext>
            </c:extLst>
          </c:dPt>
          <c:dPt>
            <c:idx val="2"/>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5-D471-4AB5-80E1-299A783BC6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1'!$A$5:$A$7</c:f>
              <c:strCache>
                <c:ptCount val="3"/>
                <c:pt idx="0">
                  <c:v>Línea estaregica 3:  Fortalecimiento de capacidades institucionales</c:v>
                </c:pt>
                <c:pt idx="1">
                  <c:v>Linea Estratégica 2: Optimización del Servicio Público de Adecuación de Tierras</c:v>
                </c:pt>
                <c:pt idx="2">
                  <c:v>Línea estaregica 1: Dinamización de la competitividad rural</c:v>
                </c:pt>
              </c:strCache>
            </c:strRef>
          </c:cat>
          <c:val>
            <c:numRef>
              <c:f>'gráfico 1'!$B$5:$B$7</c:f>
              <c:numCache>
                <c:formatCode>0%</c:formatCode>
                <c:ptCount val="3"/>
                <c:pt idx="0">
                  <c:v>0.34</c:v>
                </c:pt>
                <c:pt idx="1">
                  <c:v>0.17</c:v>
                </c:pt>
                <c:pt idx="2">
                  <c:v>7.0000000000000007E-2</c:v>
                </c:pt>
              </c:numCache>
            </c:numRef>
          </c:val>
          <c:extLst xmlns:c16r2="http://schemas.microsoft.com/office/drawing/2015/06/chart">
            <c:ext xmlns:c16="http://schemas.microsoft.com/office/drawing/2014/chart" uri="{C3380CC4-5D6E-409C-BE32-E72D297353CC}">
              <c16:uniqueId val="{00000006-D471-4AB5-80E1-299A783BC678}"/>
            </c:ext>
          </c:extLst>
        </c:ser>
        <c:dLbls>
          <c:showLegendKey val="0"/>
          <c:showVal val="0"/>
          <c:showCatName val="0"/>
          <c:showSerName val="0"/>
          <c:showPercent val="0"/>
          <c:showBubbleSize val="0"/>
        </c:dLbls>
        <c:gapWidth val="182"/>
        <c:axId val="277028736"/>
        <c:axId val="366332304"/>
      </c:barChart>
      <c:catAx>
        <c:axId val="277028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366332304"/>
        <c:crosses val="autoZero"/>
        <c:auto val="1"/>
        <c:lblAlgn val="ctr"/>
        <c:lblOffset val="100"/>
        <c:noMultiLvlLbl val="0"/>
      </c:catAx>
      <c:valAx>
        <c:axId val="36633230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77028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7CEAEE03952B489379BC1351EC59C7" ma:contentTypeVersion="2" ma:contentTypeDescription="Crear nuevo documento." ma:contentTypeScope="" ma:versionID="3006f00dbe1500b662c96f8ac0548c0f">
  <xsd:schema xmlns:xsd="http://www.w3.org/2001/XMLSchema" xmlns:xs="http://www.w3.org/2001/XMLSchema" xmlns:p="http://schemas.microsoft.com/office/2006/metadata/properties" xmlns:ns2="220353c8-0b70-4100-ab9d-1a8c23771e1b" xmlns:ns3="765bc3a6-e2b9-43ff-8feb-064937989b35" targetNamespace="http://schemas.microsoft.com/office/2006/metadata/properties" ma:root="true" ma:fieldsID="e29bc02b596799b1bef3b6dd21c46323" ns2:_="" ns3:_="">
    <xsd:import namespace="220353c8-0b70-4100-ab9d-1a8c23771e1b"/>
    <xsd:import namespace="765bc3a6-e2b9-43ff-8feb-064937989b35"/>
    <xsd:element name="properties">
      <xsd:complexType>
        <xsd:sequence>
          <xsd:element name="documentManagement">
            <xsd:complexType>
              <xsd:all>
                <xsd:element ref="ns2:Orden"/>
                <xsd:element ref="ns3: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53c8-0b70-4100-ab9d-1a8c23771e1b" elementFormDefault="qualified">
    <xsd:import namespace="http://schemas.microsoft.com/office/2006/documentManagement/types"/>
    <xsd:import namespace="http://schemas.microsoft.com/office/infopath/2007/PartnerControls"/>
    <xsd:element name="Orden" ma:index="8" ma:displayName="Orden" ma:decimals="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65bc3a6-e2b9-43ff-8feb-064937989b35" elementFormDefault="qualified">
    <xsd:import namespace="http://schemas.microsoft.com/office/2006/documentManagement/types"/>
    <xsd:import namespace="http://schemas.microsoft.com/office/infopath/2007/PartnerControls"/>
    <xsd:element name="vigencia" ma:index="9" nillable="true" ma:displayName="vigencia"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n xmlns="220353c8-0b70-4100-ab9d-1a8c23771e1b">9</Orden>
    <vigencia xmlns="765bc3a6-e2b9-43ff-8feb-064937989b35">2020</vigencia>
  </documentManagement>
</p:properties>
</file>

<file path=customXml/itemProps1.xml><?xml version="1.0" encoding="utf-8"?>
<ds:datastoreItem xmlns:ds="http://schemas.openxmlformats.org/officeDocument/2006/customXml" ds:itemID="{E36663BD-F4A9-4274-8895-AEE4E9D7E671}"/>
</file>

<file path=customXml/itemProps2.xml><?xml version="1.0" encoding="utf-8"?>
<ds:datastoreItem xmlns:ds="http://schemas.openxmlformats.org/officeDocument/2006/customXml" ds:itemID="{D5B98E73-429B-4576-BE23-8BB92B40C206}"/>
</file>

<file path=customXml/itemProps3.xml><?xml version="1.0" encoding="utf-8"?>
<ds:datastoreItem xmlns:ds="http://schemas.openxmlformats.org/officeDocument/2006/customXml" ds:itemID="{FCB02517-74DC-4063-A3D9-5FC0158BCB2A}"/>
</file>

<file path=customXml/itemProps4.xml><?xml version="1.0" encoding="utf-8"?>
<ds:datastoreItem xmlns:ds="http://schemas.openxmlformats.org/officeDocument/2006/customXml" ds:itemID="{A504E8D6-CC97-41D5-9080-83BF3A67787D}"/>
</file>

<file path=docProps/app.xml><?xml version="1.0" encoding="utf-8"?>
<Properties xmlns="http://schemas.openxmlformats.org/officeDocument/2006/extended-properties" xmlns:vt="http://schemas.openxmlformats.org/officeDocument/2006/docPropsVTypes">
  <Template>Normal.dotm</Template>
  <TotalTime>41</TotalTime>
  <Pages>27</Pages>
  <Words>7577</Words>
  <Characters>41678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Plan de Acción I trimestre</dc:title>
  <dc:subject/>
  <dc:creator>Di legno s.a.s</dc:creator>
  <cp:keywords/>
  <dc:description/>
  <cp:lastModifiedBy>Sebastian</cp:lastModifiedBy>
  <cp:revision>14</cp:revision>
  <cp:lastPrinted>2019-03-01T13:28:00Z</cp:lastPrinted>
  <dcterms:created xsi:type="dcterms:W3CDTF">2020-05-29T15:30:00Z</dcterms:created>
  <dcterms:modified xsi:type="dcterms:W3CDTF">2020-05-29T17:05:00Z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0x010100D57CEAEE03952B489379BC1351EC59C7</vt:lpwstr>
  </property>
</Properties>
</file>